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7AAFD09C" w14:textId="6A028D71" w:rsidR="003D37CA" w:rsidRDefault="00872185" w:rsidP="00950422">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kauft baden-württembergische SDT.NET</w:t>
      </w:r>
      <w:r w:rsidR="00C14BBD">
        <w:rPr>
          <w:rStyle w:val="s1"/>
          <w:rFonts w:ascii="Helvetica" w:hAnsi="Helvetica" w:cs="Segoe UI"/>
          <w:b/>
          <w:bCs/>
          <w:color w:val="000000" w:themeColor="text1"/>
          <w:sz w:val="22"/>
          <w:szCs w:val="22"/>
        </w:rPr>
        <w:t xml:space="preserve"> AG</w:t>
      </w:r>
    </w:p>
    <w:p w14:paraId="7C4CBB56" w14:textId="77777777" w:rsidR="00C51AD3" w:rsidRDefault="00C51AD3" w:rsidP="00950422">
      <w:pPr>
        <w:spacing w:line="360" w:lineRule="auto"/>
        <w:rPr>
          <w:rStyle w:val="s1"/>
          <w:rFonts w:ascii="Helvetica" w:hAnsi="Helvetica" w:cs="Segoe UI"/>
          <w:b/>
          <w:bCs/>
          <w:color w:val="000000" w:themeColor="text1"/>
          <w:sz w:val="22"/>
          <w:szCs w:val="22"/>
        </w:rPr>
      </w:pPr>
    </w:p>
    <w:p w14:paraId="0AE1DB11" w14:textId="4CC9CE5E" w:rsidR="00C51AD3" w:rsidRDefault="00872185" w:rsidP="00C51AD3">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 </w:t>
      </w:r>
      <w:r w:rsidR="00C14BBD">
        <w:rPr>
          <w:rStyle w:val="s1"/>
          <w:rFonts w:ascii="Helvetica" w:hAnsi="Helvetica" w:cs="Segoe UI"/>
          <w:b/>
          <w:bCs/>
          <w:color w:val="000000" w:themeColor="text1"/>
          <w:sz w:val="22"/>
          <w:szCs w:val="22"/>
        </w:rPr>
        <w:t>setzt deutschlandweite Wachstumsstrategie fort</w:t>
      </w:r>
    </w:p>
    <w:p w14:paraId="492967CD" w14:textId="24842D2F" w:rsidR="00C51AD3" w:rsidRPr="00C51AD3" w:rsidRDefault="00857CE0" w:rsidP="00C51AD3">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Potential von über 150.000 Haushalten</w:t>
      </w:r>
      <w:r w:rsidR="00D351D8">
        <w:rPr>
          <w:rStyle w:val="s1"/>
          <w:rFonts w:ascii="Helvetica" w:hAnsi="Helvetica" w:cs="Segoe UI"/>
          <w:b/>
          <w:bCs/>
          <w:color w:val="000000" w:themeColor="text1"/>
          <w:sz w:val="22"/>
          <w:szCs w:val="22"/>
        </w:rPr>
        <w:t xml:space="preserve"> in Süddeutschland</w:t>
      </w:r>
    </w:p>
    <w:p w14:paraId="0922B865" w14:textId="52294763" w:rsidR="008564DD" w:rsidRDefault="00950422" w:rsidP="00950422">
      <w:pPr>
        <w:pStyle w:val="StandardWeb"/>
        <w:spacing w:line="360" w:lineRule="auto"/>
        <w:rPr>
          <w:rFonts w:ascii="Helvetica" w:hAnsi="Helvetica"/>
          <w:sz w:val="22"/>
          <w:szCs w:val="22"/>
        </w:rPr>
      </w:pPr>
      <w:r w:rsidRPr="00950422">
        <w:rPr>
          <w:rFonts w:ascii="Helvetica" w:hAnsi="Helvetica"/>
          <w:sz w:val="22"/>
          <w:szCs w:val="22"/>
        </w:rPr>
        <w:t xml:space="preserve">Kiel, </w:t>
      </w:r>
      <w:r w:rsidR="00F478E7">
        <w:rPr>
          <w:rFonts w:ascii="Helvetica" w:hAnsi="Helvetica"/>
          <w:sz w:val="22"/>
          <w:szCs w:val="22"/>
        </w:rPr>
        <w:t>19</w:t>
      </w:r>
      <w:r w:rsidRPr="00950422">
        <w:rPr>
          <w:rFonts w:ascii="Helvetica" w:hAnsi="Helvetica"/>
          <w:sz w:val="22"/>
          <w:szCs w:val="22"/>
        </w:rPr>
        <w:t>.0</w:t>
      </w:r>
      <w:r w:rsidR="00F478E7">
        <w:rPr>
          <w:rFonts w:ascii="Helvetica" w:hAnsi="Helvetica"/>
          <w:sz w:val="22"/>
          <w:szCs w:val="22"/>
        </w:rPr>
        <w:t>7</w:t>
      </w:r>
      <w:r w:rsidRPr="00950422">
        <w:rPr>
          <w:rFonts w:ascii="Helvetica" w:hAnsi="Helvetica"/>
          <w:sz w:val="22"/>
          <w:szCs w:val="22"/>
        </w:rPr>
        <w:t xml:space="preserve">.2023 </w:t>
      </w:r>
      <w:r w:rsidR="00872185">
        <w:rPr>
          <w:rFonts w:ascii="Helvetica" w:hAnsi="Helvetica"/>
          <w:sz w:val="22"/>
          <w:szCs w:val="22"/>
        </w:rPr>
        <w:t xml:space="preserve">– Die TNG Stadtnetz GmbH, ein </w:t>
      </w:r>
      <w:r w:rsidR="00D351D8">
        <w:rPr>
          <w:rFonts w:ascii="Helvetica" w:hAnsi="Helvetica"/>
          <w:sz w:val="22"/>
          <w:szCs w:val="22"/>
        </w:rPr>
        <w:t xml:space="preserve">deutschlandweit </w:t>
      </w:r>
      <w:r w:rsidR="00872185">
        <w:rPr>
          <w:rFonts w:ascii="Helvetica" w:hAnsi="Helvetica"/>
          <w:sz w:val="22"/>
          <w:szCs w:val="22"/>
        </w:rPr>
        <w:t xml:space="preserve">führendes und ausgezeichnetes Telekommunikationsunternehmen aus Kiel, </w:t>
      </w:r>
      <w:r w:rsidR="002079DC">
        <w:rPr>
          <w:rFonts w:ascii="Helvetica" w:hAnsi="Helvetica"/>
          <w:sz w:val="22"/>
          <w:szCs w:val="22"/>
        </w:rPr>
        <w:t>hat</w:t>
      </w:r>
      <w:r w:rsidR="00872185">
        <w:rPr>
          <w:rFonts w:ascii="Helvetica" w:hAnsi="Helvetica"/>
          <w:sz w:val="22"/>
          <w:szCs w:val="22"/>
        </w:rPr>
        <w:t xml:space="preserve"> die </w:t>
      </w:r>
      <w:r w:rsidR="00D351D8">
        <w:rPr>
          <w:rFonts w:ascii="Helvetica" w:hAnsi="Helvetica"/>
          <w:sz w:val="22"/>
          <w:szCs w:val="22"/>
        </w:rPr>
        <w:t xml:space="preserve">SDT.NET mit Sitz im </w:t>
      </w:r>
      <w:r w:rsidR="00872185">
        <w:rPr>
          <w:rFonts w:ascii="Helvetica" w:hAnsi="Helvetica"/>
          <w:sz w:val="22"/>
          <w:szCs w:val="22"/>
        </w:rPr>
        <w:t>baden-württembergische</w:t>
      </w:r>
      <w:r w:rsidR="00F478E7">
        <w:rPr>
          <w:rFonts w:ascii="Helvetica" w:hAnsi="Helvetica"/>
          <w:sz w:val="22"/>
          <w:szCs w:val="22"/>
        </w:rPr>
        <w:t>n</w:t>
      </w:r>
      <w:r w:rsidR="00872185">
        <w:rPr>
          <w:rFonts w:ascii="Helvetica" w:hAnsi="Helvetica"/>
          <w:sz w:val="22"/>
          <w:szCs w:val="22"/>
        </w:rPr>
        <w:t xml:space="preserve"> </w:t>
      </w:r>
      <w:r w:rsidR="00C63FFD" w:rsidRPr="00C63FFD">
        <w:rPr>
          <w:rFonts w:ascii="Helvetica" w:hAnsi="Helvetica"/>
          <w:sz w:val="22"/>
          <w:szCs w:val="22"/>
        </w:rPr>
        <w:t>Aale</w:t>
      </w:r>
      <w:r w:rsidR="002079DC">
        <w:rPr>
          <w:rFonts w:ascii="Helvetica" w:hAnsi="Helvetica"/>
          <w:sz w:val="22"/>
          <w:szCs w:val="22"/>
        </w:rPr>
        <w:t xml:space="preserve">n </w:t>
      </w:r>
      <w:r w:rsidR="00A94991">
        <w:rPr>
          <w:rFonts w:ascii="Helvetica" w:hAnsi="Helvetica"/>
          <w:sz w:val="22"/>
          <w:szCs w:val="22"/>
        </w:rPr>
        <w:t>übernommen</w:t>
      </w:r>
      <w:r w:rsidR="00C63FFD">
        <w:rPr>
          <w:rFonts w:ascii="Helvetica" w:hAnsi="Helvetica"/>
          <w:sz w:val="22"/>
          <w:szCs w:val="22"/>
        </w:rPr>
        <w:t xml:space="preserve">. Die SDT.NET ist ein in der Region </w:t>
      </w:r>
      <w:r w:rsidR="00153DCF">
        <w:rPr>
          <w:rFonts w:ascii="Helvetica" w:hAnsi="Helvetica"/>
          <w:sz w:val="22"/>
          <w:szCs w:val="22"/>
        </w:rPr>
        <w:t xml:space="preserve">seit mehr als 20 Jahren </w:t>
      </w:r>
      <w:r w:rsidR="00C63FFD">
        <w:rPr>
          <w:rFonts w:ascii="Helvetica" w:hAnsi="Helvetica"/>
          <w:sz w:val="22"/>
          <w:szCs w:val="22"/>
        </w:rPr>
        <w:t>erfolgreiches Unternehme</w:t>
      </w:r>
      <w:r w:rsidR="00F478E7">
        <w:rPr>
          <w:rFonts w:ascii="Helvetica" w:hAnsi="Helvetica"/>
          <w:sz w:val="22"/>
          <w:szCs w:val="22"/>
        </w:rPr>
        <w:t xml:space="preserve">n </w:t>
      </w:r>
      <w:r w:rsidR="00153DCF">
        <w:rPr>
          <w:rFonts w:ascii="Helvetica" w:hAnsi="Helvetica"/>
          <w:sz w:val="22"/>
          <w:szCs w:val="22"/>
        </w:rPr>
        <w:t xml:space="preserve">für </w:t>
      </w:r>
      <w:r w:rsidR="00C63FFD">
        <w:rPr>
          <w:rFonts w:ascii="Helvetica" w:hAnsi="Helvetica"/>
          <w:sz w:val="22"/>
          <w:szCs w:val="22"/>
        </w:rPr>
        <w:t>den Betrieb von VDSL- und Glasfasernetzen</w:t>
      </w:r>
      <w:r w:rsidR="006249D3">
        <w:rPr>
          <w:rFonts w:ascii="Helvetica" w:hAnsi="Helvetica"/>
          <w:sz w:val="22"/>
          <w:szCs w:val="22"/>
        </w:rPr>
        <w:t xml:space="preserve">. </w:t>
      </w:r>
    </w:p>
    <w:p w14:paraId="0FE3FD56" w14:textId="767FC201" w:rsidR="008564DD" w:rsidRDefault="00C63FFD" w:rsidP="00950422">
      <w:pPr>
        <w:pStyle w:val="StandardWeb"/>
        <w:spacing w:line="360" w:lineRule="auto"/>
        <w:rPr>
          <w:rFonts w:ascii="Helvetica" w:hAnsi="Helvetica" w:cs="Calibri"/>
          <w:color w:val="1D1D1D"/>
          <w:sz w:val="22"/>
          <w:szCs w:val="22"/>
          <w:shd w:val="clear" w:color="auto" w:fill="FFFFFF"/>
        </w:rPr>
      </w:pPr>
      <w:r w:rsidRPr="00C63FFD">
        <w:rPr>
          <w:rFonts w:ascii="Helvetica" w:hAnsi="Helvetica"/>
          <w:sz w:val="22"/>
          <w:szCs w:val="22"/>
        </w:rPr>
        <w:t>„</w:t>
      </w:r>
      <w:r w:rsidRPr="00C63FFD">
        <w:rPr>
          <w:rFonts w:ascii="Helvetica" w:hAnsi="Helvetica" w:cs="Calibri"/>
          <w:color w:val="1D1D1D"/>
          <w:sz w:val="22"/>
          <w:szCs w:val="22"/>
          <w:shd w:val="clear" w:color="auto" w:fill="FFFFFF"/>
        </w:rPr>
        <w:t>Mit der Übernahme</w:t>
      </w:r>
      <w:r w:rsidR="00857CE0">
        <w:rPr>
          <w:rFonts w:ascii="Helvetica" w:hAnsi="Helvetica" w:cs="Calibri"/>
          <w:color w:val="1D1D1D"/>
          <w:sz w:val="22"/>
          <w:szCs w:val="22"/>
          <w:shd w:val="clear" w:color="auto" w:fill="FFFFFF"/>
        </w:rPr>
        <w:t xml:space="preserve"> </w:t>
      </w:r>
      <w:r w:rsidRPr="00C63FFD">
        <w:rPr>
          <w:rFonts w:ascii="Helvetica" w:hAnsi="Helvetica" w:cs="Calibri"/>
          <w:color w:val="1D1D1D"/>
          <w:sz w:val="22"/>
          <w:szCs w:val="22"/>
          <w:shd w:val="clear" w:color="auto" w:fill="FFFFFF"/>
        </w:rPr>
        <w:t>von</w:t>
      </w:r>
      <w:r w:rsidRPr="00C63FFD">
        <w:rPr>
          <w:rStyle w:val="apple-converted-space"/>
          <w:rFonts w:ascii="Helvetica" w:hAnsi="Helvetica" w:cs="Calibri"/>
          <w:color w:val="1D1D1D"/>
          <w:sz w:val="22"/>
          <w:szCs w:val="22"/>
          <w:shd w:val="clear" w:color="auto" w:fill="FFFFFF"/>
        </w:rPr>
        <w:t> </w:t>
      </w:r>
      <w:r w:rsidRPr="00C63FFD">
        <w:rPr>
          <w:rFonts w:ascii="Helvetica" w:hAnsi="Helvetica" w:cs="Calibri"/>
          <w:color w:val="1D1D1D"/>
          <w:sz w:val="22"/>
          <w:szCs w:val="22"/>
          <w:shd w:val="clear" w:color="auto" w:fill="FFFFFF"/>
        </w:rPr>
        <w:t>SDT.NET</w:t>
      </w:r>
      <w:r w:rsidRPr="00C63FFD">
        <w:rPr>
          <w:rStyle w:val="apple-converted-space"/>
          <w:rFonts w:ascii="Helvetica" w:hAnsi="Helvetica" w:cs="Calibri"/>
          <w:color w:val="1D1D1D"/>
          <w:sz w:val="22"/>
          <w:szCs w:val="22"/>
          <w:shd w:val="clear" w:color="auto" w:fill="FFFFFF"/>
        </w:rPr>
        <w:t> </w:t>
      </w:r>
      <w:r w:rsidRPr="00C63FFD">
        <w:rPr>
          <w:rFonts w:ascii="Helvetica" w:hAnsi="Helvetica" w:cs="Calibri"/>
          <w:color w:val="1D1D1D"/>
          <w:sz w:val="22"/>
          <w:szCs w:val="22"/>
          <w:shd w:val="clear" w:color="auto" w:fill="FFFFFF"/>
        </w:rPr>
        <w:t xml:space="preserve">eröffnen wir </w:t>
      </w:r>
      <w:r w:rsidR="00C14BBD">
        <w:rPr>
          <w:rFonts w:ascii="Helvetica" w:hAnsi="Helvetica" w:cs="Calibri"/>
          <w:color w:val="1D1D1D"/>
          <w:sz w:val="22"/>
          <w:szCs w:val="22"/>
          <w:shd w:val="clear" w:color="auto" w:fill="FFFFFF"/>
        </w:rPr>
        <w:t>uns zusätzliche</w:t>
      </w:r>
      <w:r w:rsidR="00C14BBD" w:rsidRPr="00C63FFD">
        <w:rPr>
          <w:rFonts w:ascii="Helvetica" w:hAnsi="Helvetica" w:cs="Calibri"/>
          <w:color w:val="1D1D1D"/>
          <w:sz w:val="22"/>
          <w:szCs w:val="22"/>
          <w:shd w:val="clear" w:color="auto" w:fill="FFFFFF"/>
        </w:rPr>
        <w:t xml:space="preserve"> </w:t>
      </w:r>
      <w:r w:rsidRPr="00C63FFD">
        <w:rPr>
          <w:rFonts w:ascii="Helvetica" w:hAnsi="Helvetica" w:cs="Calibri"/>
          <w:color w:val="1D1D1D"/>
          <w:sz w:val="22"/>
          <w:szCs w:val="22"/>
          <w:shd w:val="clear" w:color="auto" w:fill="FFFFFF"/>
        </w:rPr>
        <w:t xml:space="preserve">Wege, um den Glasfaserausbau in </w:t>
      </w:r>
      <w:r w:rsidR="00C14BBD">
        <w:rPr>
          <w:rFonts w:ascii="Helvetica" w:hAnsi="Helvetica" w:cs="Calibri"/>
          <w:color w:val="1D1D1D"/>
          <w:sz w:val="22"/>
          <w:szCs w:val="22"/>
          <w:shd w:val="clear" w:color="auto" w:fill="FFFFFF"/>
        </w:rPr>
        <w:t>Deutschland</w:t>
      </w:r>
      <w:r w:rsidRPr="00C63FFD">
        <w:rPr>
          <w:rFonts w:ascii="Helvetica" w:hAnsi="Helvetica" w:cs="Calibri"/>
          <w:color w:val="1D1D1D"/>
          <w:sz w:val="22"/>
          <w:szCs w:val="22"/>
          <w:shd w:val="clear" w:color="auto" w:fill="FFFFFF"/>
        </w:rPr>
        <w:t xml:space="preserve"> voranzutreibe</w:t>
      </w:r>
      <w:r w:rsidR="008564DD">
        <w:rPr>
          <w:rFonts w:ascii="Helvetica" w:hAnsi="Helvetica" w:cs="Calibri"/>
          <w:color w:val="1D1D1D"/>
          <w:sz w:val="22"/>
          <w:szCs w:val="22"/>
          <w:shd w:val="clear" w:color="auto" w:fill="FFFFFF"/>
        </w:rPr>
        <w:t>n</w:t>
      </w:r>
      <w:r w:rsidRPr="00C63FFD">
        <w:rPr>
          <w:rFonts w:ascii="Helvetica" w:hAnsi="Helvetica" w:cs="Calibri"/>
          <w:color w:val="1D1D1D"/>
          <w:sz w:val="22"/>
          <w:szCs w:val="22"/>
          <w:shd w:val="clear" w:color="auto" w:fill="FFFFFF"/>
        </w:rPr>
        <w:t>“, sagt Dr. Sven Willert, CEO der TNG Stadtnetz GmbH</w:t>
      </w:r>
      <w:r w:rsidR="008564DD">
        <w:rPr>
          <w:rFonts w:ascii="Helvetica" w:hAnsi="Helvetica" w:cs="Calibri"/>
          <w:color w:val="1D1D1D"/>
          <w:sz w:val="22"/>
          <w:szCs w:val="22"/>
          <w:shd w:val="clear" w:color="auto" w:fill="FFFFFF"/>
        </w:rPr>
        <w:t xml:space="preserve">, und fügt hinzu: </w:t>
      </w:r>
      <w:r w:rsidR="008564DD" w:rsidRPr="008564DD">
        <w:rPr>
          <w:rFonts w:ascii="Helvetica" w:hAnsi="Helvetica" w:cs="Calibri"/>
          <w:color w:val="1D1D1D"/>
          <w:sz w:val="22"/>
          <w:szCs w:val="22"/>
          <w:shd w:val="clear" w:color="auto" w:fill="FFFFFF"/>
        </w:rPr>
        <w:t>„</w:t>
      </w:r>
      <w:r w:rsidR="00C14BBD">
        <w:rPr>
          <w:rFonts w:ascii="Helvetica" w:hAnsi="Helvetica" w:cs="Calibri"/>
          <w:color w:val="1D1D1D"/>
          <w:sz w:val="22"/>
          <w:szCs w:val="22"/>
          <w:shd w:val="clear" w:color="auto" w:fill="FFFFFF"/>
        </w:rPr>
        <w:t>Neben unseren Aktivitäten in Norddeutschland und Hessen</w:t>
      </w:r>
      <w:r w:rsidR="008564DD" w:rsidRPr="008564DD">
        <w:rPr>
          <w:rFonts w:ascii="Helvetica" w:hAnsi="Helvetica" w:cs="Calibri"/>
          <w:color w:val="1D1D1D"/>
          <w:sz w:val="22"/>
          <w:szCs w:val="22"/>
          <w:shd w:val="clear" w:color="auto" w:fill="FFFFFF"/>
        </w:rPr>
        <w:t xml:space="preserve"> sehen </w:t>
      </w:r>
      <w:r w:rsidR="00C14BBD">
        <w:rPr>
          <w:rFonts w:ascii="Helvetica" w:hAnsi="Helvetica" w:cs="Calibri"/>
          <w:color w:val="1D1D1D"/>
          <w:sz w:val="22"/>
          <w:szCs w:val="22"/>
          <w:shd w:val="clear" w:color="auto" w:fill="FFFFFF"/>
        </w:rPr>
        <w:t xml:space="preserve">wir </w:t>
      </w:r>
      <w:r w:rsidR="008564DD" w:rsidRPr="008564DD">
        <w:rPr>
          <w:rFonts w:ascii="Helvetica" w:hAnsi="Helvetica" w:cs="Calibri"/>
          <w:color w:val="1D1D1D"/>
          <w:sz w:val="22"/>
          <w:szCs w:val="22"/>
          <w:shd w:val="clear" w:color="auto" w:fill="FFFFFF"/>
        </w:rPr>
        <w:t xml:space="preserve">diesen Schritt als </w:t>
      </w:r>
      <w:r w:rsidR="00C14BBD">
        <w:rPr>
          <w:rFonts w:ascii="Helvetica" w:hAnsi="Helvetica" w:cs="Calibri"/>
          <w:color w:val="1D1D1D"/>
          <w:sz w:val="22"/>
          <w:szCs w:val="22"/>
          <w:shd w:val="clear" w:color="auto" w:fill="FFFFFF"/>
        </w:rPr>
        <w:t>weitere</w:t>
      </w:r>
      <w:r w:rsidR="008564DD" w:rsidRPr="008564DD">
        <w:rPr>
          <w:rFonts w:ascii="Helvetica" w:hAnsi="Helvetica" w:cs="Calibri"/>
          <w:color w:val="1D1D1D"/>
          <w:sz w:val="22"/>
          <w:szCs w:val="22"/>
          <w:shd w:val="clear" w:color="auto" w:fill="FFFFFF"/>
        </w:rPr>
        <w:t xml:space="preserve"> Chance, </w:t>
      </w:r>
      <w:r w:rsidR="00853F62">
        <w:rPr>
          <w:rFonts w:ascii="Helvetica" w:hAnsi="Helvetica" w:cs="Calibri"/>
          <w:color w:val="1D1D1D"/>
          <w:sz w:val="22"/>
          <w:szCs w:val="22"/>
          <w:shd w:val="clear" w:color="auto" w:fill="FFFFFF"/>
        </w:rPr>
        <w:t>nun auch</w:t>
      </w:r>
      <w:r w:rsidR="008564DD" w:rsidRPr="008564DD">
        <w:rPr>
          <w:rFonts w:ascii="Helvetica" w:hAnsi="Helvetica" w:cs="Calibri"/>
          <w:color w:val="1D1D1D"/>
          <w:sz w:val="22"/>
          <w:szCs w:val="22"/>
          <w:shd w:val="clear" w:color="auto" w:fill="FFFFFF"/>
        </w:rPr>
        <w:t xml:space="preserve"> Menschen </w:t>
      </w:r>
      <w:r w:rsidR="00853F62">
        <w:rPr>
          <w:rFonts w:ascii="Helvetica" w:hAnsi="Helvetica" w:cs="Calibri"/>
          <w:color w:val="1D1D1D"/>
          <w:sz w:val="22"/>
          <w:szCs w:val="22"/>
          <w:shd w:val="clear" w:color="auto" w:fill="FFFFFF"/>
        </w:rPr>
        <w:t xml:space="preserve">in Süddeutschland </w:t>
      </w:r>
      <w:r w:rsidR="008564DD" w:rsidRPr="008564DD">
        <w:rPr>
          <w:rFonts w:ascii="Helvetica" w:hAnsi="Helvetica" w:cs="Calibri"/>
          <w:color w:val="1D1D1D"/>
          <w:sz w:val="22"/>
          <w:szCs w:val="22"/>
          <w:shd w:val="clear" w:color="auto" w:fill="FFFFFF"/>
        </w:rPr>
        <w:t>mit unseren Dienstleistungen zu erreichen</w:t>
      </w:r>
      <w:r w:rsidRPr="008564DD">
        <w:rPr>
          <w:rFonts w:ascii="Helvetica" w:hAnsi="Helvetica" w:cs="Calibri"/>
          <w:color w:val="1D1D1D"/>
          <w:sz w:val="22"/>
          <w:szCs w:val="22"/>
          <w:shd w:val="clear" w:color="auto" w:fill="FFFFFF"/>
        </w:rPr>
        <w:t>.</w:t>
      </w:r>
      <w:r w:rsidR="008564DD" w:rsidRPr="008564DD">
        <w:rPr>
          <w:rFonts w:ascii="Helvetica" w:hAnsi="Helvetica" w:cs="Calibri"/>
          <w:color w:val="1D1D1D"/>
          <w:sz w:val="22"/>
          <w:szCs w:val="22"/>
          <w:shd w:val="clear" w:color="auto" w:fill="FFFFFF"/>
        </w:rPr>
        <w:t>“</w:t>
      </w:r>
      <w:r w:rsidR="008564DD">
        <w:rPr>
          <w:rFonts w:ascii="Helvetica" w:hAnsi="Helvetica" w:cs="Calibri"/>
          <w:color w:val="1D1D1D"/>
          <w:sz w:val="22"/>
          <w:szCs w:val="22"/>
          <w:shd w:val="clear" w:color="auto" w:fill="FFFFFF"/>
        </w:rPr>
        <w:t xml:space="preserve"> </w:t>
      </w:r>
    </w:p>
    <w:p w14:paraId="4CE0E754" w14:textId="70E3E8ED" w:rsidR="008564DD" w:rsidRDefault="00857CE0" w:rsidP="00950422">
      <w:pPr>
        <w:pStyle w:val="StandardWeb"/>
        <w:spacing w:line="360" w:lineRule="auto"/>
        <w:rPr>
          <w:rFonts w:ascii="Helvetica" w:hAnsi="Helvetica" w:cs="Calibri"/>
          <w:color w:val="1D1D1D"/>
          <w:sz w:val="22"/>
          <w:szCs w:val="22"/>
          <w:shd w:val="clear" w:color="auto" w:fill="FFFFFF"/>
        </w:rPr>
      </w:pPr>
      <w:r w:rsidRPr="0051262C">
        <w:rPr>
          <w:rFonts w:ascii="Helvetica" w:hAnsi="Helvetica" w:cs="Calibri"/>
          <w:b/>
          <w:bCs/>
          <w:color w:val="1D1D1D"/>
          <w:sz w:val="22"/>
          <w:szCs w:val="22"/>
          <w:shd w:val="clear" w:color="auto" w:fill="FFFFFF"/>
        </w:rPr>
        <w:t>Großes Potential für den Glasfaserausbau</w:t>
      </w:r>
      <w:r>
        <w:rPr>
          <w:rFonts w:ascii="Helvetica" w:hAnsi="Helvetica" w:cs="Calibri"/>
          <w:color w:val="1D1D1D"/>
          <w:sz w:val="22"/>
          <w:szCs w:val="22"/>
          <w:shd w:val="clear" w:color="auto" w:fill="FFFFFF"/>
        </w:rPr>
        <w:br/>
      </w:r>
      <w:r w:rsidR="000D3184">
        <w:rPr>
          <w:rFonts w:ascii="Helvetica" w:hAnsi="Helvetica" w:cs="Arial"/>
          <w:color w:val="000000" w:themeColor="text1"/>
          <w:sz w:val="22"/>
          <w:szCs w:val="22"/>
          <w:shd w:val="clear" w:color="auto" w:fill="FEFEFE"/>
        </w:rPr>
        <w:t>Seit über zehn Jahren aktiv i</w:t>
      </w:r>
      <w:r w:rsidR="00863824">
        <w:rPr>
          <w:rFonts w:ascii="Helvetica" w:hAnsi="Helvetica" w:cs="Arial"/>
          <w:color w:val="000000" w:themeColor="text1"/>
          <w:sz w:val="22"/>
          <w:szCs w:val="22"/>
          <w:shd w:val="clear" w:color="auto" w:fill="FEFEFE"/>
        </w:rPr>
        <w:t>m</w:t>
      </w:r>
      <w:r w:rsidR="000D3184">
        <w:rPr>
          <w:rFonts w:ascii="Helvetica" w:hAnsi="Helvetica" w:cs="Arial"/>
          <w:color w:val="000000" w:themeColor="text1"/>
          <w:sz w:val="22"/>
          <w:szCs w:val="22"/>
          <w:shd w:val="clear" w:color="auto" w:fill="FEFEFE"/>
        </w:rPr>
        <w:t xml:space="preserve"> Glasfasermark</w:t>
      </w:r>
      <w:r w:rsidR="002079DC">
        <w:rPr>
          <w:rFonts w:ascii="Helvetica" w:hAnsi="Helvetica" w:cs="Arial"/>
          <w:color w:val="000000" w:themeColor="text1"/>
          <w:sz w:val="22"/>
          <w:szCs w:val="22"/>
          <w:shd w:val="clear" w:color="auto" w:fill="FEFEFE"/>
        </w:rPr>
        <w:t>t</w:t>
      </w:r>
      <w:r w:rsidR="000D3184">
        <w:rPr>
          <w:rFonts w:ascii="Helvetica" w:hAnsi="Helvetica" w:cs="Arial"/>
          <w:color w:val="000000" w:themeColor="text1"/>
          <w:sz w:val="22"/>
          <w:szCs w:val="22"/>
          <w:shd w:val="clear" w:color="auto" w:fill="FEFEFE"/>
        </w:rPr>
        <w:t xml:space="preserve"> ist TNG ein Vorreiter </w:t>
      </w:r>
      <w:r w:rsidR="00286809">
        <w:rPr>
          <w:rFonts w:ascii="Helvetica" w:hAnsi="Helvetica" w:cs="Arial"/>
          <w:color w:val="000000" w:themeColor="text1"/>
          <w:sz w:val="22"/>
          <w:szCs w:val="22"/>
          <w:shd w:val="clear" w:color="auto" w:fill="FEFEFE"/>
        </w:rPr>
        <w:t xml:space="preserve">in </w:t>
      </w:r>
      <w:r w:rsidR="000D3184">
        <w:rPr>
          <w:rFonts w:ascii="Helvetica" w:hAnsi="Helvetica" w:cs="Arial"/>
          <w:color w:val="000000" w:themeColor="text1"/>
          <w:sz w:val="22"/>
          <w:szCs w:val="22"/>
          <w:shd w:val="clear" w:color="auto" w:fill="FEFEFE"/>
        </w:rPr>
        <w:t xml:space="preserve">der </w:t>
      </w:r>
      <w:r w:rsidR="00286809">
        <w:rPr>
          <w:rFonts w:ascii="Helvetica" w:hAnsi="Helvetica" w:cs="Arial"/>
          <w:color w:val="000000" w:themeColor="text1"/>
          <w:sz w:val="22"/>
          <w:szCs w:val="22"/>
          <w:shd w:val="clear" w:color="auto" w:fill="FEFEFE"/>
        </w:rPr>
        <w:t>Glasfasert</w:t>
      </w:r>
      <w:r w:rsidR="000D3184">
        <w:rPr>
          <w:rFonts w:ascii="Helvetica" w:hAnsi="Helvetica" w:cs="Arial"/>
          <w:color w:val="000000" w:themeColor="text1"/>
          <w:sz w:val="22"/>
          <w:szCs w:val="22"/>
          <w:shd w:val="clear" w:color="auto" w:fill="FEFEFE"/>
        </w:rPr>
        <w:t>echnolog</w:t>
      </w:r>
      <w:r w:rsidR="002079DC">
        <w:rPr>
          <w:rFonts w:ascii="Helvetica" w:hAnsi="Helvetica" w:cs="Arial"/>
          <w:color w:val="000000" w:themeColor="text1"/>
          <w:sz w:val="22"/>
          <w:szCs w:val="22"/>
          <w:shd w:val="clear" w:color="auto" w:fill="FEFEFE"/>
        </w:rPr>
        <w:t>ie</w:t>
      </w:r>
      <w:r w:rsidR="000D3184">
        <w:rPr>
          <w:rFonts w:ascii="Helvetica" w:hAnsi="Helvetica" w:cs="Arial"/>
          <w:color w:val="000000" w:themeColor="text1"/>
          <w:sz w:val="22"/>
          <w:szCs w:val="22"/>
          <w:shd w:val="clear" w:color="auto" w:fill="FEFEFE"/>
        </w:rPr>
        <w:t>. Der</w:t>
      </w:r>
      <w:r w:rsidR="000D3184" w:rsidRPr="000D3184">
        <w:rPr>
          <w:rFonts w:ascii="Helvetica" w:hAnsi="Helvetica" w:cs="Arial"/>
          <w:color w:val="000000" w:themeColor="text1"/>
          <w:sz w:val="22"/>
          <w:szCs w:val="22"/>
          <w:shd w:val="clear" w:color="auto" w:fill="FEFEFE"/>
        </w:rPr>
        <w:t xml:space="preserve"> </w:t>
      </w:r>
      <w:r w:rsidR="000D3184">
        <w:rPr>
          <w:rFonts w:ascii="Helvetica" w:hAnsi="Helvetica" w:cs="Arial"/>
          <w:color w:val="000000" w:themeColor="text1"/>
          <w:sz w:val="22"/>
          <w:szCs w:val="22"/>
          <w:shd w:val="clear" w:color="auto" w:fill="FEFEFE"/>
        </w:rPr>
        <w:t>Fokus liegt dabei</w:t>
      </w:r>
      <w:r w:rsidR="000D3184" w:rsidRPr="000D3184">
        <w:rPr>
          <w:rFonts w:ascii="Helvetica" w:hAnsi="Helvetica" w:cs="Arial"/>
          <w:color w:val="000000" w:themeColor="text1"/>
          <w:sz w:val="22"/>
          <w:szCs w:val="22"/>
          <w:shd w:val="clear" w:color="auto" w:fill="FEFEFE"/>
        </w:rPr>
        <w:t xml:space="preserve"> auf de</w:t>
      </w:r>
      <w:r w:rsidR="000D3184">
        <w:rPr>
          <w:rFonts w:ascii="Helvetica" w:hAnsi="Helvetica" w:cs="Arial"/>
          <w:color w:val="000000" w:themeColor="text1"/>
          <w:sz w:val="22"/>
          <w:szCs w:val="22"/>
          <w:shd w:val="clear" w:color="auto" w:fill="FEFEFE"/>
        </w:rPr>
        <w:t>m</w:t>
      </w:r>
      <w:r w:rsidR="000D3184" w:rsidRPr="000D3184">
        <w:rPr>
          <w:rFonts w:ascii="Helvetica" w:hAnsi="Helvetica" w:cs="Arial"/>
          <w:color w:val="000000" w:themeColor="text1"/>
          <w:sz w:val="22"/>
          <w:szCs w:val="22"/>
          <w:shd w:val="clear" w:color="auto" w:fill="FEFEFE"/>
        </w:rPr>
        <w:t xml:space="preserve"> Ausbau und de</w:t>
      </w:r>
      <w:r w:rsidR="000D3184">
        <w:rPr>
          <w:rFonts w:ascii="Helvetica" w:hAnsi="Helvetica" w:cs="Arial"/>
          <w:color w:val="000000" w:themeColor="text1"/>
          <w:sz w:val="22"/>
          <w:szCs w:val="22"/>
          <w:shd w:val="clear" w:color="auto" w:fill="FEFEFE"/>
        </w:rPr>
        <w:t>m</w:t>
      </w:r>
      <w:r w:rsidR="000D3184" w:rsidRPr="000D3184">
        <w:rPr>
          <w:rFonts w:ascii="Helvetica" w:hAnsi="Helvetica" w:cs="Arial"/>
          <w:color w:val="000000" w:themeColor="text1"/>
          <w:sz w:val="22"/>
          <w:szCs w:val="22"/>
          <w:shd w:val="clear" w:color="auto" w:fill="FEFEFE"/>
        </w:rPr>
        <w:t xml:space="preserve"> Betrieb von Glasfasernetzen für Haushalte (FTTH) in unterversorgten ländlichen Gebieten und Städten. Das Unternehmen hat bereits mehr als </w:t>
      </w:r>
      <w:r w:rsidR="00C81CD4">
        <w:rPr>
          <w:rFonts w:ascii="Helvetica" w:hAnsi="Helvetica" w:cs="Arial"/>
          <w:color w:val="000000" w:themeColor="text1"/>
          <w:sz w:val="22"/>
          <w:szCs w:val="22"/>
          <w:shd w:val="clear" w:color="auto" w:fill="FEFEFE"/>
        </w:rPr>
        <w:t>100.000</w:t>
      </w:r>
      <w:r w:rsidR="000D3184" w:rsidRPr="000D3184">
        <w:rPr>
          <w:rFonts w:ascii="Helvetica" w:hAnsi="Helvetica" w:cs="Arial"/>
          <w:color w:val="000000" w:themeColor="text1"/>
          <w:sz w:val="22"/>
          <w:szCs w:val="22"/>
          <w:shd w:val="clear" w:color="auto" w:fill="FEFEFE"/>
        </w:rPr>
        <w:t xml:space="preserve"> Haushalte in Norddeutschland und Hessen erfolgreich mit FTTH-Anschlüssen ausgestattet.</w:t>
      </w:r>
      <w:r w:rsidR="000D3184">
        <w:rPr>
          <w:rFonts w:ascii="Helvetica" w:hAnsi="Helvetica" w:cs="Arial"/>
          <w:color w:val="000000" w:themeColor="text1"/>
          <w:sz w:val="22"/>
          <w:szCs w:val="22"/>
          <w:shd w:val="clear" w:color="auto" w:fill="FEFEFE"/>
        </w:rPr>
        <w:t xml:space="preserve"> </w:t>
      </w:r>
      <w:r w:rsidR="002079DC">
        <w:rPr>
          <w:rFonts w:ascii="Helvetica" w:hAnsi="Helvetica" w:cs="Arial"/>
          <w:color w:val="000000" w:themeColor="text1"/>
          <w:sz w:val="22"/>
          <w:szCs w:val="22"/>
          <w:shd w:val="clear" w:color="auto" w:fill="FEFEFE"/>
        </w:rPr>
        <w:br/>
      </w:r>
      <w:r w:rsidR="002079DC">
        <w:rPr>
          <w:rFonts w:ascii="Helvetica" w:hAnsi="Helvetica" w:cs="Calibri"/>
          <w:color w:val="1D1D1D"/>
          <w:sz w:val="22"/>
          <w:szCs w:val="22"/>
          <w:shd w:val="clear" w:color="auto" w:fill="FFFFFF"/>
        </w:rPr>
        <w:t xml:space="preserve">Im Mai 2023 wurde TNG vom Testmagazin CHIP </w:t>
      </w:r>
      <w:r w:rsidR="00153DCF">
        <w:rPr>
          <w:rFonts w:ascii="Helvetica" w:hAnsi="Helvetica" w:cs="Calibri"/>
          <w:color w:val="1D1D1D"/>
          <w:sz w:val="22"/>
          <w:szCs w:val="22"/>
          <w:shd w:val="clear" w:color="auto" w:fill="FFFFFF"/>
        </w:rPr>
        <w:t xml:space="preserve">zudem </w:t>
      </w:r>
      <w:r w:rsidR="002079DC">
        <w:rPr>
          <w:rFonts w:ascii="Helvetica" w:hAnsi="Helvetica" w:cs="Calibri"/>
          <w:color w:val="1D1D1D"/>
          <w:sz w:val="22"/>
          <w:szCs w:val="22"/>
          <w:shd w:val="clear" w:color="auto" w:fill="FFFFFF"/>
        </w:rPr>
        <w:t>als bester Internetanb</w:t>
      </w:r>
      <w:r w:rsidR="00D80D37">
        <w:rPr>
          <w:rFonts w:ascii="Helvetica" w:hAnsi="Helvetica" w:cs="Calibri"/>
          <w:color w:val="1D1D1D"/>
          <w:sz w:val="22"/>
          <w:szCs w:val="22"/>
          <w:shd w:val="clear" w:color="auto" w:fill="FFFFFF"/>
        </w:rPr>
        <w:t>i</w:t>
      </w:r>
      <w:r w:rsidR="002079DC">
        <w:rPr>
          <w:rFonts w:ascii="Helvetica" w:hAnsi="Helvetica" w:cs="Calibri"/>
          <w:color w:val="1D1D1D"/>
          <w:sz w:val="22"/>
          <w:szCs w:val="22"/>
          <w:shd w:val="clear" w:color="auto" w:fill="FFFFFF"/>
        </w:rPr>
        <w:t xml:space="preserve">eter Schleswig-Holsteins ausgezeichnet. </w:t>
      </w:r>
      <w:r>
        <w:rPr>
          <w:rFonts w:ascii="Helvetica" w:hAnsi="Helvetica" w:cs="Calibri"/>
          <w:color w:val="1D1D1D"/>
          <w:sz w:val="22"/>
          <w:szCs w:val="22"/>
          <w:shd w:val="clear" w:color="auto" w:fill="FFFFFF"/>
        </w:rPr>
        <w:t xml:space="preserve">Mit der </w:t>
      </w:r>
      <w:r w:rsidR="00A94991">
        <w:rPr>
          <w:rFonts w:ascii="Helvetica" w:hAnsi="Helvetica" w:cs="Calibri"/>
          <w:color w:val="1D1D1D"/>
          <w:sz w:val="22"/>
          <w:szCs w:val="22"/>
          <w:shd w:val="clear" w:color="auto" w:fill="FFFFFF"/>
        </w:rPr>
        <w:t>Übernahme</w:t>
      </w:r>
      <w:r w:rsidR="00A63652">
        <w:rPr>
          <w:rFonts w:ascii="Helvetica" w:hAnsi="Helvetica" w:cs="Calibri"/>
          <w:color w:val="1D1D1D"/>
          <w:sz w:val="22"/>
          <w:szCs w:val="22"/>
          <w:shd w:val="clear" w:color="auto" w:fill="FFFFFF"/>
        </w:rPr>
        <w:t xml:space="preserve"> </w:t>
      </w:r>
      <w:r w:rsidR="0051262C">
        <w:rPr>
          <w:rFonts w:ascii="Helvetica" w:hAnsi="Helvetica" w:cs="Calibri"/>
          <w:color w:val="1D1D1D"/>
          <w:sz w:val="22"/>
          <w:szCs w:val="22"/>
          <w:shd w:val="clear" w:color="auto" w:fill="FFFFFF"/>
        </w:rPr>
        <w:t xml:space="preserve">der SDT.NET eröffnet sich TNG </w:t>
      </w:r>
      <w:r w:rsidR="002079DC">
        <w:rPr>
          <w:rFonts w:ascii="Helvetica" w:hAnsi="Helvetica" w:cs="Calibri"/>
          <w:color w:val="1D1D1D"/>
          <w:sz w:val="22"/>
          <w:szCs w:val="22"/>
          <w:shd w:val="clear" w:color="auto" w:fill="FFFFFF"/>
        </w:rPr>
        <w:t xml:space="preserve">jetzt </w:t>
      </w:r>
      <w:r w:rsidR="0051262C">
        <w:rPr>
          <w:rFonts w:ascii="Helvetica" w:hAnsi="Helvetica" w:cs="Calibri"/>
          <w:color w:val="1D1D1D"/>
          <w:sz w:val="22"/>
          <w:szCs w:val="22"/>
          <w:shd w:val="clear" w:color="auto" w:fill="FFFFFF"/>
        </w:rPr>
        <w:t xml:space="preserve">ein </w:t>
      </w:r>
      <w:r w:rsidR="00853F62">
        <w:rPr>
          <w:rFonts w:ascii="Helvetica" w:hAnsi="Helvetica" w:cs="Calibri"/>
          <w:color w:val="1D1D1D"/>
          <w:sz w:val="22"/>
          <w:szCs w:val="22"/>
          <w:shd w:val="clear" w:color="auto" w:fill="FFFFFF"/>
        </w:rPr>
        <w:t xml:space="preserve">konkretes </w:t>
      </w:r>
      <w:r w:rsidR="0051262C">
        <w:rPr>
          <w:rFonts w:ascii="Helvetica" w:hAnsi="Helvetica" w:cs="Calibri"/>
          <w:color w:val="1D1D1D"/>
          <w:sz w:val="22"/>
          <w:szCs w:val="22"/>
          <w:shd w:val="clear" w:color="auto" w:fill="FFFFFF"/>
        </w:rPr>
        <w:t xml:space="preserve">Marktpotential von über 150.000 </w:t>
      </w:r>
      <w:r w:rsidR="00153DCF">
        <w:rPr>
          <w:rFonts w:ascii="Helvetica" w:hAnsi="Helvetica" w:cs="Calibri"/>
          <w:color w:val="1D1D1D"/>
          <w:sz w:val="22"/>
          <w:szCs w:val="22"/>
          <w:shd w:val="clear" w:color="auto" w:fill="FFFFFF"/>
        </w:rPr>
        <w:t xml:space="preserve">zusätzlichen </w:t>
      </w:r>
      <w:r w:rsidR="0051262C">
        <w:rPr>
          <w:rFonts w:ascii="Helvetica" w:hAnsi="Helvetica" w:cs="Calibri"/>
          <w:color w:val="1D1D1D"/>
          <w:sz w:val="22"/>
          <w:szCs w:val="22"/>
          <w:shd w:val="clear" w:color="auto" w:fill="FFFFFF"/>
        </w:rPr>
        <w:t>Haushalte</w:t>
      </w:r>
      <w:r w:rsidR="006249D3">
        <w:rPr>
          <w:rFonts w:ascii="Helvetica" w:hAnsi="Helvetica" w:cs="Calibri"/>
          <w:color w:val="1D1D1D"/>
          <w:sz w:val="22"/>
          <w:szCs w:val="22"/>
          <w:shd w:val="clear" w:color="auto" w:fill="FFFFFF"/>
        </w:rPr>
        <w:t>n</w:t>
      </w:r>
      <w:r w:rsidR="00853F62">
        <w:rPr>
          <w:rFonts w:ascii="Helvetica" w:hAnsi="Helvetica" w:cs="Calibri"/>
          <w:color w:val="1D1D1D"/>
          <w:sz w:val="22"/>
          <w:szCs w:val="22"/>
          <w:shd w:val="clear" w:color="auto" w:fill="FFFFFF"/>
        </w:rPr>
        <w:t xml:space="preserve"> als Sprungbrett für eine Expansion in Süddeutschland</w:t>
      </w:r>
      <w:r w:rsidR="006249D3">
        <w:rPr>
          <w:rFonts w:ascii="Helvetica" w:hAnsi="Helvetica" w:cs="Calibri"/>
          <w:color w:val="1D1D1D"/>
          <w:sz w:val="22"/>
          <w:szCs w:val="22"/>
          <w:shd w:val="clear" w:color="auto" w:fill="FFFFFF"/>
        </w:rPr>
        <w:t>.</w:t>
      </w:r>
    </w:p>
    <w:p w14:paraId="4CD67999" w14:textId="14A4757D" w:rsidR="006249D3" w:rsidRDefault="006249D3" w:rsidP="00950422">
      <w:pPr>
        <w:pStyle w:val="StandardWeb"/>
        <w:spacing w:line="360" w:lineRule="auto"/>
        <w:rPr>
          <w:rFonts w:ascii="Helvetica" w:hAnsi="Helvetica" w:cs="Calibri"/>
          <w:color w:val="1D1D1D"/>
          <w:sz w:val="22"/>
          <w:szCs w:val="22"/>
          <w:shd w:val="clear" w:color="auto" w:fill="FFFFFF"/>
        </w:rPr>
      </w:pPr>
      <w:r>
        <w:rPr>
          <w:rFonts w:ascii="Helvetica" w:hAnsi="Helvetica" w:cs="Calibri"/>
          <w:color w:val="1D1D1D"/>
          <w:sz w:val="22"/>
          <w:szCs w:val="22"/>
          <w:shd w:val="clear" w:color="auto" w:fill="FFFFFF"/>
        </w:rPr>
        <w:t>Unterstützt wird TNG vo</w:t>
      </w:r>
      <w:r w:rsidR="007C47B2">
        <w:rPr>
          <w:rFonts w:ascii="Helvetica" w:hAnsi="Helvetica" w:cs="Calibri"/>
          <w:color w:val="1D1D1D"/>
          <w:sz w:val="22"/>
          <w:szCs w:val="22"/>
          <w:shd w:val="clear" w:color="auto" w:fill="FFFFFF"/>
        </w:rPr>
        <w:t>m</w:t>
      </w:r>
      <w:r>
        <w:rPr>
          <w:rFonts w:ascii="Helvetica" w:hAnsi="Helvetica" w:cs="Calibri"/>
          <w:color w:val="1D1D1D"/>
          <w:sz w:val="22"/>
          <w:szCs w:val="22"/>
          <w:shd w:val="clear" w:color="auto" w:fill="FFFFFF"/>
        </w:rPr>
        <w:t xml:space="preserve"> Mehrheitsaktionär </w:t>
      </w:r>
      <w:r w:rsidR="00853F62" w:rsidRPr="00853F62">
        <w:rPr>
          <w:rFonts w:ascii="Helvetica" w:hAnsi="Helvetica" w:cs="Calibri"/>
          <w:color w:val="1D1D1D"/>
          <w:sz w:val="22"/>
          <w:szCs w:val="22"/>
          <w:shd w:val="clear" w:color="auto" w:fill="FFFFFF"/>
        </w:rPr>
        <w:t>Intermediate Capital Group</w:t>
      </w:r>
      <w:r w:rsidR="00853F62">
        <w:rPr>
          <w:rFonts w:ascii="Helvetica" w:hAnsi="Helvetica" w:cs="Calibri"/>
          <w:color w:val="1D1D1D"/>
          <w:sz w:val="22"/>
          <w:szCs w:val="22"/>
          <w:shd w:val="clear" w:color="auto" w:fill="FFFFFF"/>
        </w:rPr>
        <w:t xml:space="preserve"> (</w:t>
      </w:r>
      <w:r>
        <w:rPr>
          <w:rFonts w:ascii="Helvetica" w:hAnsi="Helvetica" w:cs="Calibri"/>
          <w:color w:val="1D1D1D"/>
          <w:sz w:val="22"/>
          <w:szCs w:val="22"/>
          <w:shd w:val="clear" w:color="auto" w:fill="FFFFFF"/>
        </w:rPr>
        <w:t>ICG Infr</w:t>
      </w:r>
      <w:r w:rsidR="007C47B2">
        <w:rPr>
          <w:rFonts w:ascii="Helvetica" w:hAnsi="Helvetica" w:cs="Calibri"/>
          <w:color w:val="1D1D1D"/>
          <w:sz w:val="22"/>
          <w:szCs w:val="22"/>
          <w:shd w:val="clear" w:color="auto" w:fill="FFFFFF"/>
        </w:rPr>
        <w:t>a</w:t>
      </w:r>
      <w:r w:rsidR="00853F62">
        <w:rPr>
          <w:rFonts w:ascii="Helvetica" w:hAnsi="Helvetica" w:cs="Calibri"/>
          <w:color w:val="1D1D1D"/>
          <w:sz w:val="22"/>
          <w:szCs w:val="22"/>
          <w:shd w:val="clear" w:color="auto" w:fill="FFFFFF"/>
        </w:rPr>
        <w:t>)</w:t>
      </w:r>
      <w:r w:rsidR="007C47B2">
        <w:rPr>
          <w:rFonts w:ascii="Helvetica" w:hAnsi="Helvetica" w:cs="Calibri"/>
          <w:color w:val="1D1D1D"/>
          <w:sz w:val="22"/>
          <w:szCs w:val="22"/>
          <w:shd w:val="clear" w:color="auto" w:fill="FFFFFF"/>
        </w:rPr>
        <w:t>. Frank Heiss, Managing Director und Leiter der DACH-Region bei ICG Infra</w:t>
      </w:r>
      <w:r w:rsidR="00AD2B01">
        <w:rPr>
          <w:rFonts w:ascii="Helvetica" w:hAnsi="Helvetica" w:cs="Calibri"/>
          <w:color w:val="1D1D1D"/>
          <w:sz w:val="22"/>
          <w:szCs w:val="22"/>
          <w:shd w:val="clear" w:color="auto" w:fill="FFFFFF"/>
        </w:rPr>
        <w:t>,</w:t>
      </w:r>
      <w:r w:rsidR="007C47B2">
        <w:rPr>
          <w:rFonts w:ascii="Helvetica" w:hAnsi="Helvetica" w:cs="Calibri"/>
          <w:color w:val="1D1D1D"/>
          <w:sz w:val="22"/>
          <w:szCs w:val="22"/>
          <w:shd w:val="clear" w:color="auto" w:fill="FFFFFF"/>
        </w:rPr>
        <w:t xml:space="preserve"> sagt dazu: „Die TNG </w:t>
      </w:r>
      <w:r w:rsidR="00853F62">
        <w:rPr>
          <w:rFonts w:ascii="Helvetica" w:hAnsi="Helvetica" w:cs="Calibri"/>
          <w:color w:val="1D1D1D"/>
          <w:sz w:val="22"/>
          <w:szCs w:val="22"/>
          <w:shd w:val="clear" w:color="auto" w:fill="FFFFFF"/>
        </w:rPr>
        <w:t xml:space="preserve">hat </w:t>
      </w:r>
      <w:r w:rsidR="007C47B2">
        <w:rPr>
          <w:rFonts w:ascii="Helvetica" w:hAnsi="Helvetica" w:cs="Calibri"/>
          <w:color w:val="1D1D1D"/>
          <w:sz w:val="22"/>
          <w:szCs w:val="22"/>
          <w:shd w:val="clear" w:color="auto" w:fill="FFFFFF"/>
        </w:rPr>
        <w:t>in den letzten Jahren</w:t>
      </w:r>
      <w:r w:rsidR="00853F62">
        <w:rPr>
          <w:rFonts w:ascii="Helvetica" w:hAnsi="Helvetica" w:cs="Calibri"/>
          <w:color w:val="1D1D1D"/>
          <w:sz w:val="22"/>
          <w:szCs w:val="22"/>
          <w:shd w:val="clear" w:color="auto" w:fill="FFFFFF"/>
        </w:rPr>
        <w:t xml:space="preserve"> bewiesen, kostengünstig und kundenorientiert einen Beitrag zum Schließen der Glasfaser</w:t>
      </w:r>
      <w:r w:rsidR="00F478E7">
        <w:rPr>
          <w:rFonts w:ascii="Helvetica" w:hAnsi="Helvetica" w:cs="Calibri"/>
          <w:color w:val="1D1D1D"/>
          <w:sz w:val="22"/>
          <w:szCs w:val="22"/>
          <w:shd w:val="clear" w:color="auto" w:fill="FFFFFF"/>
        </w:rPr>
        <w:t>l</w:t>
      </w:r>
      <w:r w:rsidR="00853F62">
        <w:rPr>
          <w:rFonts w:ascii="Helvetica" w:hAnsi="Helvetica" w:cs="Calibri"/>
          <w:color w:val="1D1D1D"/>
          <w:sz w:val="22"/>
          <w:szCs w:val="22"/>
          <w:shd w:val="clear" w:color="auto" w:fill="FFFFFF"/>
        </w:rPr>
        <w:t>ücke in Deutschland zu leisten. Wir wollen das Unternehmen</w:t>
      </w:r>
      <w:r w:rsidR="007C47B2">
        <w:rPr>
          <w:rFonts w:ascii="Helvetica" w:hAnsi="Helvetica" w:cs="Calibri"/>
          <w:color w:val="1D1D1D"/>
          <w:sz w:val="22"/>
          <w:szCs w:val="22"/>
          <w:shd w:val="clear" w:color="auto" w:fill="FFFFFF"/>
        </w:rPr>
        <w:t xml:space="preserve"> zu einem deutschlandweit </w:t>
      </w:r>
      <w:r w:rsidR="009433AA">
        <w:rPr>
          <w:rFonts w:ascii="Helvetica" w:hAnsi="Helvetica" w:cs="Calibri"/>
          <w:color w:val="1D1D1D"/>
          <w:sz w:val="22"/>
          <w:szCs w:val="22"/>
          <w:shd w:val="clear" w:color="auto" w:fill="FFFFFF"/>
        </w:rPr>
        <w:t>führenden</w:t>
      </w:r>
      <w:r w:rsidR="007C47B2">
        <w:rPr>
          <w:rFonts w:ascii="Helvetica" w:hAnsi="Helvetica" w:cs="Calibri"/>
          <w:color w:val="1D1D1D"/>
          <w:sz w:val="22"/>
          <w:szCs w:val="22"/>
          <w:shd w:val="clear" w:color="auto" w:fill="FFFFFF"/>
        </w:rPr>
        <w:t xml:space="preserve"> Glasfaseranbieter mache</w:t>
      </w:r>
      <w:r w:rsidR="00DD3DBE">
        <w:rPr>
          <w:rFonts w:ascii="Helvetica" w:hAnsi="Helvetica" w:cs="Calibri"/>
          <w:color w:val="1D1D1D"/>
          <w:sz w:val="22"/>
          <w:szCs w:val="22"/>
          <w:shd w:val="clear" w:color="auto" w:fill="FFFFFF"/>
        </w:rPr>
        <w:t>n</w:t>
      </w:r>
      <w:r w:rsidR="007C47B2">
        <w:rPr>
          <w:rFonts w:ascii="Helvetica" w:hAnsi="Helvetica" w:cs="Calibri"/>
          <w:color w:val="1D1D1D"/>
          <w:sz w:val="22"/>
          <w:szCs w:val="22"/>
          <w:shd w:val="clear" w:color="auto" w:fill="FFFFFF"/>
        </w:rPr>
        <w:t xml:space="preserve">.“ </w:t>
      </w:r>
    </w:p>
    <w:p w14:paraId="1E80EE1D" w14:textId="1FED8B27" w:rsidR="00F478E7" w:rsidRDefault="008564DD" w:rsidP="0013362A">
      <w:pPr>
        <w:pStyle w:val="StandardWeb"/>
        <w:spacing w:line="360" w:lineRule="auto"/>
        <w:rPr>
          <w:rFonts w:ascii="Helvetica" w:hAnsi="Helvetica" w:cs="Calibri"/>
          <w:color w:val="1D1D1D"/>
          <w:sz w:val="22"/>
          <w:szCs w:val="22"/>
          <w:shd w:val="clear" w:color="auto" w:fill="FFFFFF"/>
        </w:rPr>
      </w:pPr>
      <w:r>
        <w:rPr>
          <w:rFonts w:ascii="Helvetica" w:hAnsi="Helvetica" w:cs="Calibri"/>
          <w:color w:val="1D1D1D"/>
          <w:sz w:val="22"/>
          <w:szCs w:val="22"/>
          <w:shd w:val="clear" w:color="auto" w:fill="FFFFFF"/>
        </w:rPr>
        <w:t>Erklärtes Zie</w:t>
      </w:r>
      <w:r w:rsidR="002D4B88">
        <w:rPr>
          <w:rFonts w:ascii="Helvetica" w:hAnsi="Helvetica" w:cs="Calibri"/>
          <w:color w:val="1D1D1D"/>
          <w:sz w:val="22"/>
          <w:szCs w:val="22"/>
          <w:shd w:val="clear" w:color="auto" w:fill="FFFFFF"/>
        </w:rPr>
        <w:t xml:space="preserve">l </w:t>
      </w:r>
      <w:r w:rsidR="00286809">
        <w:rPr>
          <w:rFonts w:ascii="Helvetica" w:hAnsi="Helvetica" w:cs="Calibri"/>
          <w:color w:val="1D1D1D"/>
          <w:sz w:val="22"/>
          <w:szCs w:val="22"/>
          <w:shd w:val="clear" w:color="auto" w:fill="FFFFFF"/>
        </w:rPr>
        <w:t>der</w:t>
      </w:r>
      <w:r w:rsidR="002D4B88">
        <w:rPr>
          <w:rFonts w:ascii="Helvetica" w:hAnsi="Helvetica" w:cs="Calibri"/>
          <w:color w:val="1D1D1D"/>
          <w:sz w:val="22"/>
          <w:szCs w:val="22"/>
          <w:shd w:val="clear" w:color="auto" w:fill="FFFFFF"/>
        </w:rPr>
        <w:t xml:space="preserve"> TNG ist es, weiter zu wachsen und die TNG</w:t>
      </w:r>
      <w:r w:rsidR="00286809">
        <w:rPr>
          <w:rFonts w:ascii="Helvetica" w:hAnsi="Helvetica" w:cs="Calibri"/>
          <w:color w:val="1D1D1D"/>
          <w:sz w:val="22"/>
          <w:szCs w:val="22"/>
          <w:shd w:val="clear" w:color="auto" w:fill="FFFFFF"/>
        </w:rPr>
        <w:t>-</w:t>
      </w:r>
      <w:r w:rsidR="002D4B88">
        <w:rPr>
          <w:rFonts w:ascii="Helvetica" w:hAnsi="Helvetica" w:cs="Calibri"/>
          <w:color w:val="1D1D1D"/>
          <w:sz w:val="22"/>
          <w:szCs w:val="22"/>
          <w:shd w:val="clear" w:color="auto" w:fill="FFFFFF"/>
        </w:rPr>
        <w:t>Glasfaserprodukt</w:t>
      </w:r>
      <w:r w:rsidR="002079DC">
        <w:rPr>
          <w:rFonts w:ascii="Helvetica" w:hAnsi="Helvetica" w:cs="Calibri"/>
          <w:color w:val="1D1D1D"/>
          <w:sz w:val="22"/>
          <w:szCs w:val="22"/>
          <w:shd w:val="clear" w:color="auto" w:fill="FFFFFF"/>
        </w:rPr>
        <w:t xml:space="preserve">e überregional </w:t>
      </w:r>
      <w:r w:rsidR="002D4B88">
        <w:rPr>
          <w:rFonts w:ascii="Helvetica" w:hAnsi="Helvetica" w:cs="Calibri"/>
          <w:color w:val="1D1D1D"/>
          <w:sz w:val="22"/>
          <w:szCs w:val="22"/>
          <w:shd w:val="clear" w:color="auto" w:fill="FFFFFF"/>
        </w:rPr>
        <w:t>anzubiete</w:t>
      </w:r>
      <w:r w:rsidR="002079DC">
        <w:rPr>
          <w:rFonts w:ascii="Helvetica" w:hAnsi="Helvetica" w:cs="Calibri"/>
          <w:color w:val="1D1D1D"/>
          <w:sz w:val="22"/>
          <w:szCs w:val="22"/>
          <w:shd w:val="clear" w:color="auto" w:fill="FFFFFF"/>
        </w:rPr>
        <w:t xml:space="preserve">n. </w:t>
      </w:r>
      <w:r w:rsidR="002D4B88">
        <w:rPr>
          <w:rFonts w:ascii="Helvetica" w:hAnsi="Helvetica" w:cs="Calibri"/>
          <w:color w:val="1D1D1D"/>
          <w:sz w:val="22"/>
          <w:szCs w:val="22"/>
          <w:shd w:val="clear" w:color="auto" w:fill="FFFFFF"/>
        </w:rPr>
        <w:t>Der Kauf der SDT.NET ist ein weiterer</w:t>
      </w:r>
      <w:r w:rsidR="000C19C5">
        <w:rPr>
          <w:rFonts w:ascii="Helvetica" w:hAnsi="Helvetica" w:cs="Calibri"/>
          <w:color w:val="1D1D1D"/>
          <w:sz w:val="22"/>
          <w:szCs w:val="22"/>
          <w:shd w:val="clear" w:color="auto" w:fill="FFFFFF"/>
        </w:rPr>
        <w:t>, wichtiger</w:t>
      </w:r>
      <w:r w:rsidR="002D4B88">
        <w:rPr>
          <w:rFonts w:ascii="Helvetica" w:hAnsi="Helvetica" w:cs="Calibri"/>
          <w:color w:val="1D1D1D"/>
          <w:sz w:val="22"/>
          <w:szCs w:val="22"/>
          <w:shd w:val="clear" w:color="auto" w:fill="FFFFFF"/>
        </w:rPr>
        <w:t xml:space="preserve"> Schritt in diese Richtung</w:t>
      </w:r>
      <w:r w:rsidR="000C19C5">
        <w:rPr>
          <w:rFonts w:ascii="Helvetica" w:hAnsi="Helvetica" w:cs="Calibri"/>
          <w:color w:val="1D1D1D"/>
          <w:sz w:val="22"/>
          <w:szCs w:val="22"/>
          <w:shd w:val="clear" w:color="auto" w:fill="FFFFFF"/>
        </w:rPr>
        <w:t>.</w:t>
      </w:r>
    </w:p>
    <w:p w14:paraId="12F9D414" w14:textId="1549B94B" w:rsidR="00F478E7" w:rsidRDefault="0013362A" w:rsidP="00F478E7">
      <w:pPr>
        <w:pStyle w:val="StandardWeb"/>
        <w:spacing w:line="360" w:lineRule="auto"/>
        <w:rPr>
          <w:rFonts w:ascii="Helvetica" w:hAnsi="Helvetica" w:cs="Calibri"/>
          <w:color w:val="1D1D1D"/>
          <w:sz w:val="22"/>
          <w:szCs w:val="22"/>
          <w:shd w:val="clear" w:color="auto" w:fill="FFFFFF"/>
        </w:rPr>
      </w:pPr>
      <w:r>
        <w:rPr>
          <w:rFonts w:ascii="Helvetica" w:hAnsi="Helvetica" w:cs="Calibri"/>
          <w:color w:val="1D1D1D"/>
          <w:sz w:val="22"/>
          <w:szCs w:val="22"/>
          <w:shd w:val="clear" w:color="auto" w:fill="FFFFFF"/>
        </w:rPr>
        <w:lastRenderedPageBreak/>
        <w:t>Beratend unterstützt wurde TNG bei der Transaktion von Herbst Hilgenfeld Partners (M&amp;A), Latham &amp; Watkins (Legal) sowie Deloitte (</w:t>
      </w:r>
      <w:proofErr w:type="spellStart"/>
      <w:r>
        <w:rPr>
          <w:rFonts w:ascii="Helvetica" w:hAnsi="Helvetica" w:cs="Calibri"/>
          <w:color w:val="1D1D1D"/>
          <w:sz w:val="22"/>
          <w:szCs w:val="22"/>
          <w:shd w:val="clear" w:color="auto" w:fill="FFFFFF"/>
        </w:rPr>
        <w:t>Tax</w:t>
      </w:r>
      <w:proofErr w:type="spellEnd"/>
      <w:r>
        <w:rPr>
          <w:rFonts w:ascii="Helvetica" w:hAnsi="Helvetica" w:cs="Calibri"/>
          <w:color w:val="1D1D1D"/>
          <w:sz w:val="22"/>
          <w:szCs w:val="22"/>
          <w:shd w:val="clear" w:color="auto" w:fill="FFFFFF"/>
        </w:rPr>
        <w:t xml:space="preserve"> &amp; Financial)</w:t>
      </w:r>
      <w:r w:rsidR="00F478E7">
        <w:rPr>
          <w:rFonts w:ascii="Helvetica" w:hAnsi="Helvetica" w:cs="Calibri"/>
          <w:color w:val="1D1D1D"/>
          <w:sz w:val="22"/>
          <w:szCs w:val="22"/>
          <w:shd w:val="clear" w:color="auto" w:fill="FFFFFF"/>
        </w:rPr>
        <w:t>.</w:t>
      </w:r>
    </w:p>
    <w:p w14:paraId="2BBB5E56" w14:textId="35BE39EB" w:rsidR="00F478E7" w:rsidRPr="00F478E7" w:rsidRDefault="00F478E7" w:rsidP="00F478E7">
      <w:pPr>
        <w:pStyle w:val="StandardWeb"/>
        <w:spacing w:line="360" w:lineRule="auto"/>
        <w:rPr>
          <w:rStyle w:val="s1"/>
          <w:rFonts w:ascii="Helvetica" w:hAnsi="Helvetica" w:cs="Calibri"/>
          <w:color w:val="1D1D1D"/>
          <w:sz w:val="22"/>
          <w:szCs w:val="22"/>
          <w:shd w:val="clear" w:color="auto" w:fill="FFFFFF"/>
        </w:rPr>
      </w:pPr>
    </w:p>
    <w:p w14:paraId="0579ADCA" w14:textId="7971E8E1" w:rsidR="00DB4C2C" w:rsidRPr="0051262C" w:rsidRDefault="00DB4C2C" w:rsidP="00950422">
      <w:pPr>
        <w:pStyle w:val="StandardWeb"/>
        <w:spacing w:line="360" w:lineRule="auto"/>
        <w:rPr>
          <w:rStyle w:val="s1"/>
          <w:rFonts w:ascii="Helvetica" w:hAnsi="Helvetica" w:cs="Calibri"/>
          <w:color w:val="1D1D1D"/>
          <w:sz w:val="22"/>
          <w:szCs w:val="22"/>
          <w:shd w:val="clear" w:color="auto" w:fill="FFFFFF"/>
        </w:rPr>
      </w:pPr>
      <w:r w:rsidRPr="00950422">
        <w:rPr>
          <w:rStyle w:val="s1"/>
          <w:rFonts w:ascii="Helvetica" w:hAnsi="Helvetica" w:cs="Segoe UI"/>
          <w:b/>
          <w:bCs/>
          <w:color w:val="000000" w:themeColor="text1"/>
          <w:sz w:val="22"/>
          <w:szCs w:val="22"/>
        </w:rPr>
        <w:t>Informationen zur TNG Stadtnetz GmbH</w:t>
      </w:r>
      <w:r w:rsidRPr="00950422">
        <w:rPr>
          <w:rStyle w:val="s1"/>
          <w:rFonts w:ascii="Helvetica" w:hAnsi="Helvetica" w:cs="Segoe UI"/>
          <w:b/>
          <w:bCs/>
          <w:color w:val="000000" w:themeColor="text1"/>
          <w:sz w:val="22"/>
          <w:szCs w:val="22"/>
        </w:rPr>
        <w:br/>
      </w:r>
      <w:r w:rsidRPr="00950422">
        <w:rPr>
          <w:rStyle w:val="s1"/>
          <w:rFonts w:ascii="Helvetica" w:hAnsi="Helvetica" w:cs="Segoe UI"/>
          <w:color w:val="000000" w:themeColor="text1"/>
          <w:sz w:val="22"/>
          <w:szCs w:val="22"/>
        </w:rPr>
        <w:t xml:space="preserve">Mit der </w:t>
      </w:r>
      <w:r w:rsidRPr="000F7350">
        <w:rPr>
          <w:rStyle w:val="s1"/>
          <w:rFonts w:ascii="Helvetica" w:hAnsi="Helvetica" w:cs="Segoe UI"/>
          <w:color w:val="000000" w:themeColor="text1"/>
          <w:sz w:val="22"/>
          <w:szCs w:val="22"/>
        </w:rPr>
        <w:t>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3663C23A"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w:t>
      </w:r>
      <w:r w:rsidR="00F4752E">
        <w:rPr>
          <w:rStyle w:val="s1"/>
          <w:rFonts w:ascii="Helvetica" w:hAnsi="Helvetica" w:cs="Segoe UI"/>
          <w:color w:val="000000" w:themeColor="text1"/>
          <w:sz w:val="22"/>
          <w:szCs w:val="22"/>
        </w:rPr>
        <w:t>,</w:t>
      </w:r>
      <w:r w:rsidRPr="00DB4C2C">
        <w:rPr>
          <w:rStyle w:val="s1"/>
          <w:rFonts w:ascii="Helvetica" w:hAnsi="Helvetica" w:cs="Segoe UI"/>
          <w:color w:val="000000" w:themeColor="text1"/>
          <w:sz w:val="22"/>
          <w:szCs w:val="22"/>
        </w:rPr>
        <w:t xml:space="preserve">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Bettina Büll,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42E4" w14:textId="77777777" w:rsidR="009838DF" w:rsidRDefault="009838DF">
      <w:r>
        <w:separator/>
      </w:r>
    </w:p>
  </w:endnote>
  <w:endnote w:type="continuationSeparator" w:id="0">
    <w:p w14:paraId="0458EC9E" w14:textId="77777777" w:rsidR="009838DF" w:rsidRDefault="0098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1753F" w14:textId="77777777" w:rsidR="009838DF" w:rsidRDefault="009838DF">
      <w:r>
        <w:separator/>
      </w:r>
    </w:p>
  </w:footnote>
  <w:footnote w:type="continuationSeparator" w:id="0">
    <w:p w14:paraId="3C3E671F" w14:textId="77777777" w:rsidR="009838DF" w:rsidRDefault="0098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5D87"/>
    <w:multiLevelType w:val="hybridMultilevel"/>
    <w:tmpl w:val="131448D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8630D8"/>
    <w:multiLevelType w:val="hybridMultilevel"/>
    <w:tmpl w:val="8FE6D150"/>
    <w:lvl w:ilvl="0" w:tplc="F724BB22">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1"/>
  </w:num>
  <w:num w:numId="2" w16cid:durableId="706878481">
    <w:abstractNumId w:val="2"/>
  </w:num>
  <w:num w:numId="3" w16cid:durableId="116990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A66E4"/>
    <w:rsid w:val="000A6C46"/>
    <w:rsid w:val="000C19C5"/>
    <w:rsid w:val="000D3184"/>
    <w:rsid w:val="000D5537"/>
    <w:rsid w:val="000F7112"/>
    <w:rsid w:val="000F7350"/>
    <w:rsid w:val="0010020A"/>
    <w:rsid w:val="0013152B"/>
    <w:rsid w:val="0013362A"/>
    <w:rsid w:val="00153DCF"/>
    <w:rsid w:val="00194263"/>
    <w:rsid w:val="001954CC"/>
    <w:rsid w:val="001C7685"/>
    <w:rsid w:val="001E4C54"/>
    <w:rsid w:val="001F6924"/>
    <w:rsid w:val="002013B8"/>
    <w:rsid w:val="002079DC"/>
    <w:rsid w:val="002218D0"/>
    <w:rsid w:val="00253530"/>
    <w:rsid w:val="002834D7"/>
    <w:rsid w:val="00284715"/>
    <w:rsid w:val="00286809"/>
    <w:rsid w:val="002B332E"/>
    <w:rsid w:val="002D4B88"/>
    <w:rsid w:val="002E0C17"/>
    <w:rsid w:val="002E61B7"/>
    <w:rsid w:val="00317E5F"/>
    <w:rsid w:val="0033225B"/>
    <w:rsid w:val="00390E9B"/>
    <w:rsid w:val="003D37CA"/>
    <w:rsid w:val="00437E2F"/>
    <w:rsid w:val="00474A8A"/>
    <w:rsid w:val="004872B3"/>
    <w:rsid w:val="004873B0"/>
    <w:rsid w:val="004A5557"/>
    <w:rsid w:val="004B73CA"/>
    <w:rsid w:val="004D71C8"/>
    <w:rsid w:val="0050435C"/>
    <w:rsid w:val="0051262C"/>
    <w:rsid w:val="00522576"/>
    <w:rsid w:val="0053216D"/>
    <w:rsid w:val="00532D2A"/>
    <w:rsid w:val="00567975"/>
    <w:rsid w:val="005B3DE6"/>
    <w:rsid w:val="006249D3"/>
    <w:rsid w:val="0067570D"/>
    <w:rsid w:val="0068740F"/>
    <w:rsid w:val="00691680"/>
    <w:rsid w:val="007345B8"/>
    <w:rsid w:val="007418AF"/>
    <w:rsid w:val="007637BB"/>
    <w:rsid w:val="00771CC1"/>
    <w:rsid w:val="00775EE7"/>
    <w:rsid w:val="007C3EB5"/>
    <w:rsid w:val="007C47B2"/>
    <w:rsid w:val="007C7200"/>
    <w:rsid w:val="007D221E"/>
    <w:rsid w:val="00853F62"/>
    <w:rsid w:val="008564DD"/>
    <w:rsid w:val="00857CE0"/>
    <w:rsid w:val="00863824"/>
    <w:rsid w:val="00872185"/>
    <w:rsid w:val="008D7DA4"/>
    <w:rsid w:val="009433AA"/>
    <w:rsid w:val="00950422"/>
    <w:rsid w:val="00961B43"/>
    <w:rsid w:val="009838DF"/>
    <w:rsid w:val="009F07D3"/>
    <w:rsid w:val="00A0383B"/>
    <w:rsid w:val="00A63652"/>
    <w:rsid w:val="00A722E6"/>
    <w:rsid w:val="00A8296A"/>
    <w:rsid w:val="00A94991"/>
    <w:rsid w:val="00AA1DB5"/>
    <w:rsid w:val="00AA2D50"/>
    <w:rsid w:val="00AB5F84"/>
    <w:rsid w:val="00AD2B01"/>
    <w:rsid w:val="00B14432"/>
    <w:rsid w:val="00B34674"/>
    <w:rsid w:val="00B406AB"/>
    <w:rsid w:val="00B7541B"/>
    <w:rsid w:val="00BA568C"/>
    <w:rsid w:val="00BA7F64"/>
    <w:rsid w:val="00BC3A7B"/>
    <w:rsid w:val="00C14BBD"/>
    <w:rsid w:val="00C16DCC"/>
    <w:rsid w:val="00C51AD3"/>
    <w:rsid w:val="00C63FFD"/>
    <w:rsid w:val="00C66536"/>
    <w:rsid w:val="00C66F53"/>
    <w:rsid w:val="00C764B9"/>
    <w:rsid w:val="00C81CD4"/>
    <w:rsid w:val="00C82E9D"/>
    <w:rsid w:val="00CF1FA9"/>
    <w:rsid w:val="00D23F1E"/>
    <w:rsid w:val="00D351D8"/>
    <w:rsid w:val="00D42061"/>
    <w:rsid w:val="00D4361D"/>
    <w:rsid w:val="00D80D37"/>
    <w:rsid w:val="00DA6FB4"/>
    <w:rsid w:val="00DA7D13"/>
    <w:rsid w:val="00DB4C2C"/>
    <w:rsid w:val="00DD3DBE"/>
    <w:rsid w:val="00DD7159"/>
    <w:rsid w:val="00E2309F"/>
    <w:rsid w:val="00E7748F"/>
    <w:rsid w:val="00EB4C57"/>
    <w:rsid w:val="00F4752E"/>
    <w:rsid w:val="00F478E7"/>
    <w:rsid w:val="00F7725C"/>
    <w:rsid w:val="00FD60F3"/>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berarbeitung">
    <w:name w:val="Revision"/>
    <w:hidden/>
    <w:uiPriority w:val="99"/>
    <w:semiHidden/>
    <w:rsid w:val="00390E9B"/>
    <w:rPr>
      <w:rFonts w:ascii="Times New Roman" w:eastAsia="Times New Roman" w:hAnsi="Times New Roman" w:cs="Times New Roman"/>
      <w:lang w:eastAsia="de-DE"/>
    </w:rPr>
  </w:style>
  <w:style w:type="paragraph" w:styleId="StandardWeb">
    <w:name w:val="Normal (Web)"/>
    <w:basedOn w:val="Standard"/>
    <w:uiPriority w:val="99"/>
    <w:unhideWhenUsed/>
    <w:rsid w:val="00950422"/>
    <w:pPr>
      <w:spacing w:before="100" w:beforeAutospacing="1" w:after="100" w:afterAutospacing="1"/>
    </w:pPr>
  </w:style>
  <w:style w:type="character" w:customStyle="1" w:styleId="apple-converted-space">
    <w:name w:val="apple-converted-space"/>
    <w:basedOn w:val="Absatz-Standardschriftart"/>
    <w:rsid w:val="00C6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3916">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3254</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cp:revision>
  <dcterms:created xsi:type="dcterms:W3CDTF">2023-07-14T05:37:00Z</dcterms:created>
  <dcterms:modified xsi:type="dcterms:W3CDTF">2023-07-14T12:29:00Z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25074f-3ade-4fa6-b1b3-54141a669e4a_Enabled">
    <vt:lpwstr>true</vt:lpwstr>
  </property>
  <property fmtid="{D5CDD505-2E9C-101B-9397-08002B2CF9AE}" pid="3" name="MSIP_Label_af25074f-3ade-4fa6-b1b3-54141a669e4a_SetDate">
    <vt:lpwstr>2023-07-14T07:37:46Z</vt:lpwstr>
  </property>
  <property fmtid="{D5CDD505-2E9C-101B-9397-08002B2CF9AE}" pid="4" name="MSIP_Label_af25074f-3ade-4fa6-b1b3-54141a669e4a_Method">
    <vt:lpwstr>Privileged</vt:lpwstr>
  </property>
  <property fmtid="{D5CDD505-2E9C-101B-9397-08002B2CF9AE}" pid="5" name="MSIP_Label_af25074f-3ade-4fa6-b1b3-54141a669e4a_Name">
    <vt:lpwstr>ICG-DataClassificationTag-Public</vt:lpwstr>
  </property>
  <property fmtid="{D5CDD505-2E9C-101B-9397-08002B2CF9AE}" pid="6" name="MSIP_Label_af25074f-3ade-4fa6-b1b3-54141a669e4a_SiteId">
    <vt:lpwstr>31d4ce72-dfb2-4be8-b876-3278f8641754</vt:lpwstr>
  </property>
  <property fmtid="{D5CDD505-2E9C-101B-9397-08002B2CF9AE}" pid="7" name="MSIP_Label_af25074f-3ade-4fa6-b1b3-54141a669e4a_ActionId">
    <vt:lpwstr>493e9018-75e4-41e5-8642-f39b15227091</vt:lpwstr>
  </property>
  <property fmtid="{D5CDD505-2E9C-101B-9397-08002B2CF9AE}" pid="8" name="MSIP_Label_af25074f-3ade-4fa6-b1b3-54141a669e4a_ContentBits">
    <vt:lpwstr>0</vt:lpwstr>
  </property>
</Properties>
</file>