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F506" w14:textId="272C599E" w:rsidR="002E0C17" w:rsidRPr="00A91370" w:rsidRDefault="00DB4C2C" w:rsidP="00DB4C2C">
      <w:pPr>
        <w:spacing w:line="360" w:lineRule="auto"/>
        <w:rPr>
          <w:rStyle w:val="s1"/>
          <w:rFonts w:ascii="Helvetica" w:hAnsi="Helvetica" w:cs="Segoe UI"/>
          <w:b/>
          <w:bCs/>
          <w:color w:val="000000" w:themeColor="text1"/>
          <w:sz w:val="22"/>
          <w:szCs w:val="22"/>
        </w:rPr>
      </w:pPr>
      <w:r w:rsidRPr="00A91370">
        <w:rPr>
          <w:rStyle w:val="s1"/>
          <w:rFonts w:ascii="Helvetica" w:hAnsi="Helvetica" w:cs="Segoe UI"/>
          <w:b/>
          <w:bCs/>
          <w:color w:val="000000" w:themeColor="text1"/>
          <w:sz w:val="22"/>
          <w:szCs w:val="22"/>
        </w:rPr>
        <w:t>Pressem</w:t>
      </w:r>
      <w:r w:rsidR="00EB4C57" w:rsidRPr="00A91370">
        <w:rPr>
          <w:rStyle w:val="s1"/>
          <w:rFonts w:ascii="Helvetica" w:hAnsi="Helvetica" w:cs="Segoe UI"/>
          <w:b/>
          <w:bCs/>
          <w:color w:val="000000" w:themeColor="text1"/>
          <w:sz w:val="22"/>
          <w:szCs w:val="22"/>
        </w:rPr>
        <w:t>i</w:t>
      </w:r>
      <w:r w:rsidRPr="00A91370">
        <w:rPr>
          <w:rStyle w:val="s1"/>
          <w:rFonts w:ascii="Helvetica" w:hAnsi="Helvetica" w:cs="Segoe UI"/>
          <w:b/>
          <w:bCs/>
          <w:color w:val="000000" w:themeColor="text1"/>
          <w:sz w:val="22"/>
          <w:szCs w:val="22"/>
        </w:rPr>
        <w:t>tteilung</w:t>
      </w:r>
    </w:p>
    <w:p w14:paraId="09A07D27" w14:textId="77777777" w:rsidR="00A84379" w:rsidRPr="00A91370" w:rsidRDefault="00A84379" w:rsidP="00DB4C2C">
      <w:pPr>
        <w:spacing w:line="360" w:lineRule="auto"/>
        <w:rPr>
          <w:rStyle w:val="s1"/>
          <w:rFonts w:ascii="Helvetica" w:hAnsi="Helvetica" w:cs="Segoe UI"/>
          <w:b/>
          <w:bCs/>
          <w:color w:val="000000" w:themeColor="text1"/>
          <w:sz w:val="22"/>
          <w:szCs w:val="22"/>
        </w:rPr>
      </w:pPr>
    </w:p>
    <w:p w14:paraId="06517EFC" w14:textId="044DD125" w:rsidR="00DB4C2C" w:rsidRPr="00A91370" w:rsidRDefault="00390D85" w:rsidP="00DB4C2C">
      <w:pPr>
        <w:spacing w:line="360" w:lineRule="auto"/>
        <w:rPr>
          <w:rStyle w:val="s1"/>
          <w:rFonts w:ascii="Helvetica" w:hAnsi="Helvetica" w:cs="Segoe UI"/>
          <w:b/>
          <w:bCs/>
          <w:color w:val="000000" w:themeColor="text1"/>
          <w:sz w:val="22"/>
          <w:szCs w:val="22"/>
        </w:rPr>
      </w:pPr>
      <w:r w:rsidRPr="00A91370">
        <w:rPr>
          <w:rStyle w:val="s1"/>
          <w:rFonts w:ascii="Helvetica" w:hAnsi="Helvetica" w:cs="Segoe UI"/>
          <w:b/>
          <w:bCs/>
          <w:color w:val="000000" w:themeColor="text1"/>
          <w:sz w:val="22"/>
          <w:szCs w:val="22"/>
        </w:rPr>
        <w:t>TNG sichert sich weitere 175 Millionen</w:t>
      </w:r>
      <w:r w:rsidR="00303780">
        <w:rPr>
          <w:rStyle w:val="s1"/>
          <w:rFonts w:ascii="Helvetica" w:hAnsi="Helvetica" w:cs="Segoe UI"/>
          <w:b/>
          <w:bCs/>
          <w:color w:val="000000" w:themeColor="text1"/>
          <w:sz w:val="22"/>
          <w:szCs w:val="22"/>
        </w:rPr>
        <w:t xml:space="preserve"> Euro</w:t>
      </w:r>
      <w:r w:rsidRPr="00A91370">
        <w:rPr>
          <w:rStyle w:val="s1"/>
          <w:rFonts w:ascii="Helvetica" w:hAnsi="Helvetica" w:cs="Segoe UI"/>
          <w:b/>
          <w:bCs/>
          <w:color w:val="000000" w:themeColor="text1"/>
          <w:sz w:val="22"/>
          <w:szCs w:val="22"/>
        </w:rPr>
        <w:t xml:space="preserve"> für Glasfaserausbau</w:t>
      </w:r>
    </w:p>
    <w:p w14:paraId="0D77EEB2" w14:textId="77777777" w:rsidR="002E0C17" w:rsidRPr="00A91370" w:rsidRDefault="002E0C17" w:rsidP="00DB4C2C">
      <w:pPr>
        <w:spacing w:line="360" w:lineRule="auto"/>
        <w:rPr>
          <w:rStyle w:val="s1"/>
          <w:rFonts w:ascii="Helvetica" w:hAnsi="Helvetica" w:cs="Segoe UI"/>
          <w:b/>
          <w:bCs/>
          <w:color w:val="000000" w:themeColor="text1"/>
          <w:sz w:val="22"/>
          <w:szCs w:val="22"/>
        </w:rPr>
      </w:pPr>
    </w:p>
    <w:p w14:paraId="5C3A5778" w14:textId="1E0E9365" w:rsidR="00D42061" w:rsidRPr="00A91370" w:rsidRDefault="00CF2640" w:rsidP="00A84379">
      <w:pPr>
        <w:pStyle w:val="Listenabsatz"/>
        <w:numPr>
          <w:ilvl w:val="0"/>
          <w:numId w:val="2"/>
        </w:numPr>
        <w:spacing w:line="360" w:lineRule="auto"/>
        <w:jc w:val="both"/>
        <w:rPr>
          <w:rStyle w:val="s1"/>
          <w:rFonts w:ascii="Helvetica" w:hAnsi="Helvetica" w:cs="Segoe UI"/>
          <w:b/>
          <w:bCs/>
          <w:color w:val="000000" w:themeColor="text1"/>
          <w:sz w:val="22"/>
          <w:szCs w:val="22"/>
        </w:rPr>
      </w:pPr>
      <w:r w:rsidRPr="00A91370">
        <w:rPr>
          <w:rStyle w:val="s1"/>
          <w:rFonts w:ascii="Helvetica" w:hAnsi="Helvetica" w:cs="Segoe UI"/>
          <w:b/>
          <w:bCs/>
          <w:color w:val="000000" w:themeColor="text1"/>
          <w:sz w:val="22"/>
          <w:szCs w:val="22"/>
        </w:rPr>
        <w:t>Hohes Interesse bei Kreditgebern führt zu Überzeichnung der Transaktion</w:t>
      </w:r>
    </w:p>
    <w:p w14:paraId="7AAFD09C" w14:textId="3A6E0532" w:rsidR="003D37CA" w:rsidRPr="00A91370" w:rsidRDefault="00CF2640" w:rsidP="002A4491">
      <w:pPr>
        <w:pStyle w:val="Listenabsatz"/>
        <w:numPr>
          <w:ilvl w:val="0"/>
          <w:numId w:val="2"/>
        </w:numPr>
        <w:spacing w:after="240" w:line="360" w:lineRule="auto"/>
        <w:rPr>
          <w:rStyle w:val="s1"/>
          <w:rFonts w:ascii="Helvetica" w:hAnsi="Helvetica" w:cs="Segoe UI"/>
          <w:b/>
          <w:bCs/>
          <w:color w:val="000000" w:themeColor="text1"/>
          <w:sz w:val="22"/>
          <w:szCs w:val="22"/>
        </w:rPr>
      </w:pPr>
      <w:r w:rsidRPr="00A91370">
        <w:rPr>
          <w:rStyle w:val="s1"/>
          <w:rFonts w:ascii="Helvetica" w:hAnsi="Helvetica" w:cs="Segoe UI"/>
          <w:b/>
          <w:bCs/>
          <w:color w:val="000000" w:themeColor="text1"/>
          <w:sz w:val="22"/>
          <w:szCs w:val="22"/>
        </w:rPr>
        <w:t>NAB und ein institutioneller Investor treten als Darlehensgeber bei</w:t>
      </w:r>
    </w:p>
    <w:p w14:paraId="696369EF" w14:textId="624FC384" w:rsidR="009A02C6" w:rsidRPr="00A91370" w:rsidRDefault="00CF2640" w:rsidP="002A4491">
      <w:pPr>
        <w:pStyle w:val="Listenabsatz"/>
        <w:numPr>
          <w:ilvl w:val="0"/>
          <w:numId w:val="2"/>
        </w:numPr>
        <w:spacing w:after="240" w:line="360" w:lineRule="auto"/>
        <w:rPr>
          <w:rStyle w:val="s1"/>
          <w:rFonts w:ascii="Helvetica" w:hAnsi="Helvetica" w:cs="Segoe UI"/>
          <w:b/>
          <w:bCs/>
          <w:color w:val="000000" w:themeColor="text1"/>
          <w:sz w:val="22"/>
          <w:szCs w:val="22"/>
        </w:rPr>
      </w:pPr>
      <w:r w:rsidRPr="00A91370">
        <w:rPr>
          <w:rStyle w:val="s1"/>
          <w:rFonts w:ascii="Helvetica" w:hAnsi="Helvetica" w:cs="Segoe UI"/>
          <w:b/>
          <w:bCs/>
          <w:color w:val="000000" w:themeColor="text1"/>
          <w:sz w:val="22"/>
          <w:szCs w:val="22"/>
        </w:rPr>
        <w:t xml:space="preserve">Kapitalpaket durch zusätzliche Fondmittel von ICG </w:t>
      </w:r>
      <w:proofErr w:type="spellStart"/>
      <w:r w:rsidRPr="00A91370">
        <w:rPr>
          <w:rStyle w:val="s1"/>
          <w:rFonts w:ascii="Helvetica" w:hAnsi="Helvetica" w:cs="Segoe UI"/>
          <w:b/>
          <w:bCs/>
          <w:color w:val="000000" w:themeColor="text1"/>
          <w:sz w:val="22"/>
          <w:szCs w:val="22"/>
        </w:rPr>
        <w:t>Infra</w:t>
      </w:r>
      <w:proofErr w:type="spellEnd"/>
    </w:p>
    <w:p w14:paraId="64644852" w14:textId="3C415026" w:rsidR="00CF2640" w:rsidRPr="00A91370" w:rsidRDefault="00CF2640" w:rsidP="00CF2640">
      <w:pPr>
        <w:spacing w:line="360" w:lineRule="auto"/>
        <w:rPr>
          <w:rFonts w:ascii="Helvetica" w:hAnsi="Helvetica"/>
          <w:sz w:val="22"/>
          <w:szCs w:val="22"/>
        </w:rPr>
      </w:pPr>
      <w:r w:rsidRPr="00A91370">
        <w:rPr>
          <w:rStyle w:val="s1"/>
          <w:rFonts w:ascii="Helvetica" w:hAnsi="Helvetica"/>
          <w:sz w:val="22"/>
          <w:szCs w:val="22"/>
        </w:rPr>
        <w:t>0</w:t>
      </w:r>
      <w:r w:rsidR="007A5120">
        <w:rPr>
          <w:rStyle w:val="s1"/>
          <w:rFonts w:ascii="Helvetica" w:hAnsi="Helvetica"/>
          <w:sz w:val="22"/>
          <w:szCs w:val="22"/>
        </w:rPr>
        <w:t>4</w:t>
      </w:r>
      <w:r w:rsidR="00D4106C" w:rsidRPr="00A91370">
        <w:rPr>
          <w:rStyle w:val="s1"/>
          <w:rFonts w:ascii="Helvetica" w:hAnsi="Helvetica"/>
          <w:sz w:val="22"/>
          <w:szCs w:val="22"/>
        </w:rPr>
        <w:t>.</w:t>
      </w:r>
      <w:r w:rsidRPr="00A91370">
        <w:rPr>
          <w:rStyle w:val="s1"/>
          <w:rFonts w:ascii="Helvetica" w:hAnsi="Helvetica"/>
          <w:sz w:val="22"/>
          <w:szCs w:val="22"/>
        </w:rPr>
        <w:t>12</w:t>
      </w:r>
      <w:r w:rsidR="00CF35FC" w:rsidRPr="00A91370">
        <w:rPr>
          <w:rStyle w:val="s1"/>
          <w:rFonts w:ascii="Helvetica" w:hAnsi="Helvetica"/>
          <w:sz w:val="22"/>
          <w:szCs w:val="22"/>
        </w:rPr>
        <w:t xml:space="preserve">.2024 – </w:t>
      </w:r>
      <w:r w:rsidRPr="00A91370">
        <w:rPr>
          <w:rFonts w:ascii="Helvetica" w:hAnsi="Helvetica"/>
          <w:sz w:val="22"/>
          <w:szCs w:val="22"/>
        </w:rPr>
        <w:t xml:space="preserve">Die TNG Glasfaser GmbH („TNG“ oder „das Unternehmen“) mit Sitz in Kiel, Schleswig-Holstein, eines der führenden Unternehmen für den Ausbau von Glasfaser-Breitbandnetzen in Deutschland, unterzeichnete eine Vereinbarung zur Sicherung zusätzlicher Kreditzusagen (Akkordeonfazilität) in Höhe von 175 Mio. Euro im Rahmen ihres bestehenden Finanzierungspakets. Mit der Finanzierung soll der Glasfaserausbau in ländlichen und vorstädtischen Gebieten in Deutschland weiter vorangetrieben werden. </w:t>
      </w:r>
    </w:p>
    <w:p w14:paraId="3B8E5FB0" w14:textId="77777777" w:rsidR="00CF2640" w:rsidRPr="00A91370" w:rsidRDefault="00CF2640" w:rsidP="00CF2640">
      <w:pPr>
        <w:spacing w:line="360" w:lineRule="auto"/>
        <w:rPr>
          <w:rFonts w:ascii="Helvetica" w:hAnsi="Helvetica"/>
          <w:sz w:val="22"/>
          <w:szCs w:val="22"/>
        </w:rPr>
      </w:pPr>
    </w:p>
    <w:p w14:paraId="42DC856A" w14:textId="3FA86DF0" w:rsidR="00CF2640" w:rsidRPr="00A91370" w:rsidRDefault="00CF2640" w:rsidP="00CF2640">
      <w:pPr>
        <w:spacing w:line="360" w:lineRule="auto"/>
        <w:rPr>
          <w:rFonts w:ascii="Helvetica" w:hAnsi="Helvetica"/>
          <w:sz w:val="22"/>
          <w:szCs w:val="22"/>
        </w:rPr>
      </w:pPr>
      <w:r w:rsidRPr="00A91370">
        <w:rPr>
          <w:rFonts w:ascii="Helvetica" w:hAnsi="Helvetica"/>
          <w:sz w:val="22"/>
          <w:szCs w:val="22"/>
        </w:rPr>
        <w:t xml:space="preserve">Die gesicherte Fremdfinanzierung in Höhe von 175 Mio. Euro kommt zu der bestehenden, im November 2022 unterzeichneten Finanzierung in Höhe von 325 Mio. Euro mit einer Aufstockungsoption von 150 Mio. Euro hinzu. TNG erhielt deutlichen Zuspruch sowohl von bestehenden als auch von neuen Kreditgebern, was zu einer </w:t>
      </w:r>
      <w:r w:rsidRPr="00303780">
        <w:rPr>
          <w:rFonts w:ascii="Helvetica" w:hAnsi="Helvetica"/>
          <w:sz w:val="22"/>
          <w:szCs w:val="22"/>
        </w:rPr>
        <w:t>Überzeichnung der Transaktion</w:t>
      </w:r>
      <w:r w:rsidRPr="00A91370">
        <w:rPr>
          <w:rFonts w:ascii="Helvetica" w:hAnsi="Helvetica"/>
          <w:sz w:val="22"/>
          <w:szCs w:val="22"/>
        </w:rPr>
        <w:t xml:space="preserve"> führte. Die nachweisliche Erfolgsbilanz von TNG bei der Umsetzung ehrgeiziger und rentabler Wachstumspläne entlang der gesamten Glasfaserwertschöpfungskette war ausschlaggebend für die Entscheidung der Investoren.</w:t>
      </w:r>
    </w:p>
    <w:p w14:paraId="47C6B2D3" w14:textId="5C4EE38B" w:rsidR="00CF2640" w:rsidRPr="00A91370" w:rsidRDefault="005609CA" w:rsidP="00CF2640">
      <w:pPr>
        <w:spacing w:line="360" w:lineRule="auto"/>
        <w:rPr>
          <w:rFonts w:ascii="Helvetica" w:hAnsi="Helvetica"/>
          <w:sz w:val="22"/>
          <w:szCs w:val="22"/>
        </w:rPr>
      </w:pPr>
      <w:r>
        <w:rPr>
          <w:rFonts w:ascii="Helvetica" w:hAnsi="Helvetica"/>
          <w:sz w:val="22"/>
          <w:szCs w:val="22"/>
        </w:rPr>
        <w:t>D</w:t>
      </w:r>
      <w:r w:rsidR="00CF2640" w:rsidRPr="00A91370">
        <w:rPr>
          <w:rFonts w:ascii="Helvetica" w:hAnsi="Helvetica"/>
          <w:sz w:val="22"/>
          <w:szCs w:val="22"/>
        </w:rPr>
        <w:t>ie National Australia Bank („NAB“), die KfW</w:t>
      </w:r>
      <w:r>
        <w:rPr>
          <w:rFonts w:ascii="Helvetica" w:hAnsi="Helvetica"/>
          <w:sz w:val="22"/>
          <w:szCs w:val="22"/>
        </w:rPr>
        <w:t xml:space="preserve">, </w:t>
      </w:r>
      <w:r w:rsidR="00CF2640" w:rsidRPr="00A91370">
        <w:rPr>
          <w:rFonts w:ascii="Helvetica" w:hAnsi="Helvetica"/>
          <w:sz w:val="22"/>
          <w:szCs w:val="22"/>
        </w:rPr>
        <w:t>die Kommunalkredit</w:t>
      </w:r>
      <w:r>
        <w:rPr>
          <w:rFonts w:ascii="Helvetica" w:hAnsi="Helvetica"/>
          <w:sz w:val="22"/>
          <w:szCs w:val="22"/>
        </w:rPr>
        <w:t xml:space="preserve"> Austria und e</w:t>
      </w:r>
      <w:r w:rsidRPr="00A91370">
        <w:rPr>
          <w:rFonts w:ascii="Helvetica" w:hAnsi="Helvetica"/>
          <w:sz w:val="22"/>
          <w:szCs w:val="22"/>
        </w:rPr>
        <w:t>in weiterer institutioneller Investor</w:t>
      </w:r>
      <w:r w:rsidR="00CF2640" w:rsidRPr="00A91370">
        <w:rPr>
          <w:rFonts w:ascii="Helvetica" w:hAnsi="Helvetica"/>
          <w:sz w:val="22"/>
          <w:szCs w:val="22"/>
        </w:rPr>
        <w:t xml:space="preserve"> waren an der erfolgreichen Aufstockung und Umsetzung dieser Option beteiligt. Darüber hinaus erhält TNG eine </w:t>
      </w:r>
      <w:r>
        <w:rPr>
          <w:rFonts w:ascii="Helvetica" w:hAnsi="Helvetica"/>
          <w:sz w:val="22"/>
          <w:szCs w:val="22"/>
        </w:rPr>
        <w:t>neue</w:t>
      </w:r>
      <w:r w:rsidR="00CF2640" w:rsidRPr="00A91370">
        <w:rPr>
          <w:rFonts w:ascii="Helvetica" w:hAnsi="Helvetica"/>
          <w:sz w:val="22"/>
          <w:szCs w:val="22"/>
        </w:rPr>
        <w:t xml:space="preserve"> Aufstockungsoption in Höhe von 100 Millionen Euro.</w:t>
      </w:r>
    </w:p>
    <w:p w14:paraId="2CC72A96" w14:textId="1FAD1F7E" w:rsidR="00CF2640" w:rsidRPr="00A91370" w:rsidRDefault="00CF2640" w:rsidP="00CF2640">
      <w:pPr>
        <w:spacing w:line="360" w:lineRule="auto"/>
        <w:rPr>
          <w:rFonts w:ascii="Helvetica" w:hAnsi="Helvetica"/>
          <w:sz w:val="22"/>
          <w:szCs w:val="22"/>
        </w:rPr>
      </w:pPr>
      <w:r w:rsidRPr="00A91370">
        <w:rPr>
          <w:rFonts w:ascii="Helvetica" w:hAnsi="Helvetica"/>
          <w:sz w:val="22"/>
          <w:szCs w:val="22"/>
        </w:rPr>
        <w:t xml:space="preserve">Das Kreditpaket wird durch zusätzliche Eigenkapitalzusagen von ICG </w:t>
      </w:r>
      <w:proofErr w:type="spellStart"/>
      <w:r w:rsidRPr="00A91370">
        <w:rPr>
          <w:rFonts w:ascii="Helvetica" w:hAnsi="Helvetica"/>
          <w:sz w:val="22"/>
          <w:szCs w:val="22"/>
        </w:rPr>
        <w:t>Infra</w:t>
      </w:r>
      <w:proofErr w:type="spellEnd"/>
      <w:r w:rsidRPr="00A91370">
        <w:rPr>
          <w:rFonts w:ascii="Helvetica" w:hAnsi="Helvetica"/>
          <w:sz w:val="22"/>
          <w:szCs w:val="22"/>
        </w:rPr>
        <w:t>, dem Mehrheitseigner von TNG, ergänzt.</w:t>
      </w:r>
    </w:p>
    <w:p w14:paraId="0930E276" w14:textId="77777777" w:rsidR="00CF2640" w:rsidRPr="00A91370" w:rsidRDefault="00CF2640" w:rsidP="00CF2640">
      <w:pPr>
        <w:spacing w:line="360" w:lineRule="auto"/>
        <w:rPr>
          <w:rFonts w:ascii="Helvetica" w:hAnsi="Helvetica"/>
          <w:sz w:val="22"/>
          <w:szCs w:val="22"/>
        </w:rPr>
      </w:pPr>
    </w:p>
    <w:p w14:paraId="6FB97F7A" w14:textId="782CE203" w:rsidR="00CF2640" w:rsidRPr="00A91370" w:rsidRDefault="00CF2640" w:rsidP="00CF2640">
      <w:pPr>
        <w:spacing w:line="360" w:lineRule="auto"/>
        <w:rPr>
          <w:rFonts w:ascii="Helvetica" w:hAnsi="Helvetica"/>
          <w:sz w:val="22"/>
          <w:szCs w:val="22"/>
        </w:rPr>
      </w:pPr>
      <w:r w:rsidRPr="00A91370">
        <w:rPr>
          <w:rFonts w:ascii="Helvetica" w:hAnsi="Helvetica"/>
          <w:sz w:val="22"/>
          <w:szCs w:val="22"/>
        </w:rPr>
        <w:t xml:space="preserve">Die zusätzliche Finanzierung belegt den Erfolg von TNG beim Ausbau und der Vermarktung von Glasfasernetzen in ländlichen und vorstädtischen Gebieten in ganz Deutschland. TNG plant die Erschließung von mehr als einer halben Million Haushalte in Schleswig-Holstein, Hessen und Baden-Württemberg in den kommenden Jahren. </w:t>
      </w:r>
    </w:p>
    <w:p w14:paraId="06335551" w14:textId="77777777" w:rsidR="00CF2640" w:rsidRPr="00A91370" w:rsidRDefault="00CF2640" w:rsidP="00CF2640">
      <w:pPr>
        <w:spacing w:line="360" w:lineRule="auto"/>
        <w:rPr>
          <w:rFonts w:ascii="Helvetica" w:hAnsi="Helvetica"/>
          <w:sz w:val="22"/>
          <w:szCs w:val="22"/>
        </w:rPr>
      </w:pPr>
    </w:p>
    <w:p w14:paraId="030F2E0A" w14:textId="2D384C3E" w:rsidR="00CF2640" w:rsidRPr="00A91370" w:rsidRDefault="00CF2640" w:rsidP="00CF2640">
      <w:pPr>
        <w:spacing w:line="360" w:lineRule="auto"/>
        <w:rPr>
          <w:rFonts w:ascii="Helvetica" w:hAnsi="Helvetica"/>
          <w:sz w:val="22"/>
          <w:szCs w:val="22"/>
        </w:rPr>
      </w:pPr>
      <w:r w:rsidRPr="00A91370">
        <w:rPr>
          <w:rFonts w:ascii="Helvetica" w:hAnsi="Helvetica"/>
          <w:sz w:val="22"/>
          <w:szCs w:val="22"/>
        </w:rPr>
        <w:lastRenderedPageBreak/>
        <w:t>Sabine Domes, CFO der TNG, erklärt: „Dieses zusätzliche Kapital ermöglicht es uns, auf unserem Erfolg aufzubauen und unsere Expansionsziele in den kommenden Jahren weiter zu verfolgen, indem wir laufende und neue Projekte finanzieren. Wir freuen uns sehr, dass wir angesichts der starken Erfolgsbilanz und der strategischen Positionierung von TNG die Unterstützung von zwei weiteren internationalen Infrastruktur-Kreditgebern erhalten haben.“</w:t>
      </w:r>
    </w:p>
    <w:p w14:paraId="0E8D6B7C" w14:textId="77777777" w:rsidR="00CF2640" w:rsidRPr="00A91370" w:rsidRDefault="00CF2640" w:rsidP="00CF2640">
      <w:pPr>
        <w:spacing w:line="360" w:lineRule="auto"/>
        <w:rPr>
          <w:rFonts w:ascii="Helvetica" w:hAnsi="Helvetica"/>
          <w:sz w:val="22"/>
          <w:szCs w:val="22"/>
        </w:rPr>
      </w:pPr>
    </w:p>
    <w:p w14:paraId="781A0F70" w14:textId="6DEFF726" w:rsidR="00CF2640" w:rsidRPr="00A91370" w:rsidRDefault="00CF2640" w:rsidP="00CF2640">
      <w:pPr>
        <w:spacing w:line="360" w:lineRule="auto"/>
        <w:rPr>
          <w:rFonts w:ascii="Helvetica" w:hAnsi="Helvetica"/>
          <w:sz w:val="22"/>
          <w:szCs w:val="22"/>
        </w:rPr>
      </w:pPr>
      <w:r w:rsidRPr="00A91370">
        <w:rPr>
          <w:rFonts w:ascii="Helvetica" w:hAnsi="Helvetica"/>
          <w:sz w:val="22"/>
          <w:szCs w:val="22"/>
        </w:rPr>
        <w:t xml:space="preserve">Frank </w:t>
      </w:r>
      <w:proofErr w:type="spellStart"/>
      <w:r w:rsidRPr="00A91370">
        <w:rPr>
          <w:rFonts w:ascii="Helvetica" w:hAnsi="Helvetica"/>
          <w:sz w:val="22"/>
          <w:szCs w:val="22"/>
        </w:rPr>
        <w:t>Heiss</w:t>
      </w:r>
      <w:proofErr w:type="spellEnd"/>
      <w:r w:rsidRPr="00A91370">
        <w:rPr>
          <w:rFonts w:ascii="Helvetica" w:hAnsi="Helvetica"/>
          <w:sz w:val="22"/>
          <w:szCs w:val="22"/>
        </w:rPr>
        <w:t xml:space="preserve">, Managing </w:t>
      </w:r>
      <w:proofErr w:type="spellStart"/>
      <w:r w:rsidRPr="00A91370">
        <w:rPr>
          <w:rFonts w:ascii="Helvetica" w:hAnsi="Helvetica"/>
          <w:sz w:val="22"/>
          <w:szCs w:val="22"/>
        </w:rPr>
        <w:t>Director</w:t>
      </w:r>
      <w:proofErr w:type="spellEnd"/>
      <w:r w:rsidRPr="00A91370">
        <w:rPr>
          <w:rFonts w:ascii="Helvetica" w:hAnsi="Helvetica"/>
          <w:sz w:val="22"/>
          <w:szCs w:val="22"/>
        </w:rPr>
        <w:t xml:space="preserve"> und Leiter der DACH-Region bei ICG </w:t>
      </w:r>
      <w:proofErr w:type="spellStart"/>
      <w:r w:rsidRPr="00A91370">
        <w:rPr>
          <w:rFonts w:ascii="Helvetica" w:hAnsi="Helvetica"/>
          <w:sz w:val="22"/>
          <w:szCs w:val="22"/>
        </w:rPr>
        <w:t>Infra</w:t>
      </w:r>
      <w:proofErr w:type="spellEnd"/>
      <w:r w:rsidRPr="00A91370">
        <w:rPr>
          <w:rFonts w:ascii="Helvetica" w:hAnsi="Helvetica"/>
          <w:sz w:val="22"/>
          <w:szCs w:val="22"/>
        </w:rPr>
        <w:t>, fügt hinzu: „Diese Finanzierungsrunde spiegelt den Erfolg von TNG beim profitablen Aufbau von Glasfasernetzen in Deutschland wider. Seit unserer Erstinvestition im Jahr 2021 hat sich das Glasfasernetz von TNG verachtfacht, und das Unternehmen ist optimal ausgerichtet, um das weitere Wachstumspotenzial auf dem deutschen Glasfasermarkt auszuschöpfen. Dies steht im Einklang mit der Strategie des ICG Infra-Teams, starke Management-Teams bei der Verwirklichung ihrer Ziele zu unterstützen. Wir freuen uns, unser Engagement zu stärken und das weitere Wachstum von TNG zu unterstützen.</w:t>
      </w:r>
      <w:r w:rsidR="00755AD7" w:rsidRPr="00A91370">
        <w:rPr>
          <w:rFonts w:ascii="Helvetica" w:hAnsi="Helvetica"/>
          <w:sz w:val="22"/>
          <w:szCs w:val="22"/>
        </w:rPr>
        <w:t>“</w:t>
      </w:r>
    </w:p>
    <w:p w14:paraId="78FF6ECE" w14:textId="77777777" w:rsidR="00755AD7" w:rsidRPr="00A91370" w:rsidRDefault="00755AD7" w:rsidP="00CF2640">
      <w:pPr>
        <w:spacing w:line="360" w:lineRule="auto"/>
        <w:rPr>
          <w:rFonts w:ascii="Helvetica" w:hAnsi="Helvetica"/>
          <w:sz w:val="22"/>
          <w:szCs w:val="22"/>
        </w:rPr>
      </w:pPr>
    </w:p>
    <w:p w14:paraId="5B1E6883" w14:textId="6FE9EA92" w:rsidR="00DB4C2C" w:rsidRPr="00A91370" w:rsidRDefault="00CF2640" w:rsidP="00A91370">
      <w:pPr>
        <w:spacing w:line="360" w:lineRule="auto"/>
        <w:rPr>
          <w:rStyle w:val="s1"/>
          <w:rFonts w:ascii="Helvetica" w:hAnsi="Helvetica"/>
          <w:sz w:val="22"/>
          <w:szCs w:val="22"/>
        </w:rPr>
      </w:pPr>
      <w:r w:rsidRPr="00A91370">
        <w:rPr>
          <w:rFonts w:ascii="Helvetica" w:hAnsi="Helvetica"/>
          <w:sz w:val="22"/>
          <w:szCs w:val="22"/>
        </w:rPr>
        <w:t>TNG wurde von Macquarie Capital (Finanzierung), Altman Solon (kaufmännische Due-Diligence-Prüfung), Latham &amp; Watkins (rechtliche Due-Diligence-Prüfung), Deloitte (finanzielle Due-Diligence-Prüfung), Freshfields (Rechtsberater der Kreditnehmer) und Hogan Lovells (Rechtsberater der Kreditgeber) beraten.</w:t>
      </w:r>
    </w:p>
    <w:p w14:paraId="389C49F3" w14:textId="77777777" w:rsidR="00DB4C2C" w:rsidRPr="00A91370" w:rsidRDefault="00DB4C2C" w:rsidP="00DB4C2C">
      <w:pPr>
        <w:spacing w:line="360" w:lineRule="auto"/>
        <w:rPr>
          <w:rFonts w:ascii="Helvetica" w:hAnsi="Helvetica" w:cstheme="minorHAnsi"/>
          <w:sz w:val="22"/>
          <w:szCs w:val="22"/>
        </w:rPr>
      </w:pPr>
    </w:p>
    <w:p w14:paraId="5ECDB961" w14:textId="77777777" w:rsidR="00DB4C2C" w:rsidRPr="00A91370" w:rsidRDefault="00DB4C2C" w:rsidP="00DB4C2C">
      <w:pPr>
        <w:spacing w:line="360" w:lineRule="auto"/>
        <w:rPr>
          <w:rFonts w:ascii="Helvetica" w:hAnsi="Helvetica" w:cstheme="minorHAnsi"/>
          <w:sz w:val="22"/>
          <w:szCs w:val="22"/>
        </w:rPr>
      </w:pPr>
    </w:p>
    <w:p w14:paraId="154DB0BB" w14:textId="19677765" w:rsidR="00DB4C2C" w:rsidRPr="00A91370" w:rsidRDefault="00DB4C2C" w:rsidP="00DB4C2C">
      <w:pPr>
        <w:pStyle w:val="Text"/>
        <w:jc w:val="both"/>
        <w:outlineLvl w:val="0"/>
        <w:rPr>
          <w:rFonts w:cs="Arial"/>
          <w:b/>
          <w:bCs/>
          <w:color w:val="000000" w:themeColor="text1"/>
        </w:rPr>
      </w:pPr>
      <w:r w:rsidRPr="00A91370">
        <w:rPr>
          <w:rFonts w:cs="Arial"/>
          <w:b/>
          <w:bCs/>
          <w:color w:val="000000" w:themeColor="text1"/>
        </w:rPr>
        <w:t>TNG Stadtnetz GmbH</w:t>
      </w:r>
    </w:p>
    <w:p w14:paraId="6081BE63" w14:textId="718F04A5" w:rsidR="00DB4C2C" w:rsidRPr="005F7168" w:rsidRDefault="00DB4C2C" w:rsidP="00DB4C2C">
      <w:pPr>
        <w:pStyle w:val="Text"/>
        <w:ind w:right="0"/>
        <w:jc w:val="both"/>
        <w:outlineLvl w:val="0"/>
        <w:rPr>
          <w:rFonts w:cs="Arial"/>
          <w:color w:val="000000" w:themeColor="text1"/>
        </w:rPr>
      </w:pPr>
      <w:r w:rsidRPr="00A91370">
        <w:rPr>
          <w:rFonts w:cs="Arial"/>
          <w:color w:val="000000" w:themeColor="text1"/>
        </w:rPr>
        <w:t xml:space="preserve">Gerhard-Fröhler-Str. </w:t>
      </w:r>
      <w:r w:rsidRPr="005F7168">
        <w:rPr>
          <w:rFonts w:cs="Arial"/>
          <w:color w:val="000000" w:themeColor="text1"/>
        </w:rPr>
        <w:t>12</w:t>
      </w:r>
    </w:p>
    <w:p w14:paraId="79C7E901" w14:textId="74FE6C8F" w:rsidR="00DB4C2C" w:rsidRPr="00970EC1" w:rsidRDefault="00DB4C2C" w:rsidP="002E0C17">
      <w:pPr>
        <w:pStyle w:val="Text"/>
        <w:jc w:val="both"/>
        <w:outlineLvl w:val="0"/>
        <w:rPr>
          <w:rStyle w:val="Hyperlink"/>
          <w:rFonts w:cs="Arial"/>
          <w:u w:val="none"/>
        </w:rPr>
      </w:pPr>
      <w:r w:rsidRPr="00970EC1">
        <w:rPr>
          <w:rFonts w:cs="Arial"/>
          <w:color w:val="000000" w:themeColor="text1"/>
        </w:rPr>
        <w:t>24106 Kiel</w:t>
      </w:r>
      <w:r w:rsidR="001E4C54" w:rsidRPr="00970EC1">
        <w:rPr>
          <w:rFonts w:cs="Arial"/>
          <w:color w:val="000000" w:themeColor="text1"/>
        </w:rPr>
        <w:tab/>
      </w:r>
      <w:r w:rsidRPr="00970EC1">
        <w:rPr>
          <w:rFonts w:cs="Arial"/>
          <w:color w:val="000000" w:themeColor="text1"/>
        </w:rPr>
        <w:tab/>
      </w:r>
      <w:r w:rsidRPr="00970EC1">
        <w:rPr>
          <w:rFonts w:cs="Arial"/>
          <w:color w:val="000000" w:themeColor="text1"/>
        </w:rPr>
        <w:tab/>
      </w:r>
      <w:r w:rsidRPr="00970EC1">
        <w:rPr>
          <w:rFonts w:cs="Arial"/>
          <w:color w:val="000000" w:themeColor="text1"/>
        </w:rPr>
        <w:tab/>
      </w:r>
    </w:p>
    <w:p w14:paraId="7BDA58E6" w14:textId="77777777" w:rsidR="00A91370" w:rsidRPr="00A91370" w:rsidRDefault="00A91370" w:rsidP="002E0C17">
      <w:pPr>
        <w:pStyle w:val="Text"/>
        <w:jc w:val="both"/>
        <w:outlineLvl w:val="0"/>
        <w:rPr>
          <w:rStyle w:val="Hyperlink"/>
          <w:rFonts w:cs="Arial"/>
          <w:u w:val="none"/>
        </w:rPr>
      </w:pPr>
      <w:r w:rsidRPr="00A91370">
        <w:rPr>
          <w:rStyle w:val="Hyperlink"/>
          <w:rFonts w:cs="Arial"/>
          <w:u w:val="none"/>
        </w:rPr>
        <w:t>Friederike Hopp</w:t>
      </w:r>
    </w:p>
    <w:p w14:paraId="563D6388" w14:textId="2B5A75E2" w:rsidR="00A91370" w:rsidRPr="00A91370" w:rsidRDefault="00A91370" w:rsidP="002E0C17">
      <w:pPr>
        <w:pStyle w:val="Text"/>
        <w:jc w:val="both"/>
        <w:outlineLvl w:val="0"/>
        <w:rPr>
          <w:rStyle w:val="Hyperlink"/>
          <w:rFonts w:cs="Arial"/>
          <w:u w:val="none"/>
        </w:rPr>
      </w:pPr>
      <w:r w:rsidRPr="00A91370">
        <w:rPr>
          <w:rStyle w:val="Hyperlink"/>
          <w:rFonts w:cs="Arial"/>
          <w:u w:val="none"/>
        </w:rPr>
        <w:t xml:space="preserve">presse@tng.de </w:t>
      </w:r>
    </w:p>
    <w:p w14:paraId="4FDAB474" w14:textId="77777777" w:rsidR="00A91370" w:rsidRPr="00A91370" w:rsidRDefault="00A91370" w:rsidP="002E0C17">
      <w:pPr>
        <w:pStyle w:val="Text"/>
        <w:jc w:val="both"/>
        <w:outlineLvl w:val="0"/>
        <w:rPr>
          <w:rStyle w:val="Hyperlink"/>
          <w:rFonts w:cs="Arial"/>
          <w:u w:val="none"/>
        </w:rPr>
      </w:pPr>
    </w:p>
    <w:p w14:paraId="5256B519" w14:textId="092FF115" w:rsidR="00A91370" w:rsidRPr="00970EC1" w:rsidRDefault="00A91370" w:rsidP="002E0C17">
      <w:pPr>
        <w:pStyle w:val="Text"/>
        <w:jc w:val="both"/>
        <w:outlineLvl w:val="0"/>
        <w:rPr>
          <w:rStyle w:val="Hyperlink"/>
          <w:rFonts w:cs="Arial"/>
          <w:b/>
          <w:bCs/>
          <w:u w:val="none"/>
          <w:lang w:val="en-US"/>
        </w:rPr>
      </w:pPr>
      <w:r w:rsidRPr="00970EC1">
        <w:rPr>
          <w:rStyle w:val="Hyperlink"/>
          <w:rFonts w:cs="Arial"/>
          <w:b/>
          <w:bCs/>
          <w:u w:val="none"/>
          <w:lang w:val="en-US"/>
        </w:rPr>
        <w:t>ICG</w:t>
      </w:r>
    </w:p>
    <w:p w14:paraId="22FBCD37" w14:textId="77777777" w:rsidR="00A91370" w:rsidRPr="00A91370" w:rsidRDefault="00A91370" w:rsidP="00A91370">
      <w:pPr>
        <w:pStyle w:val="StandardWeb"/>
        <w:spacing w:before="0" w:beforeAutospacing="0" w:after="0" w:afterAutospacing="0" w:line="276" w:lineRule="auto"/>
        <w:textAlignment w:val="baseline"/>
        <w:rPr>
          <w:rFonts w:ascii="Helvetica" w:hAnsi="Helvetica" w:cs="Arial"/>
          <w:sz w:val="22"/>
          <w:szCs w:val="22"/>
          <w:lang w:val="en-US"/>
        </w:rPr>
      </w:pPr>
      <w:r w:rsidRPr="00A91370">
        <w:rPr>
          <w:rFonts w:ascii="Helvetica" w:hAnsi="Helvetica" w:cs="Arial"/>
          <w:sz w:val="22"/>
          <w:szCs w:val="22"/>
          <w:lang w:val="en-US"/>
        </w:rPr>
        <w:t>Clare Glynn</w:t>
      </w:r>
    </w:p>
    <w:p w14:paraId="30FC7DF0" w14:textId="77777777" w:rsidR="00A91370" w:rsidRPr="00A91370" w:rsidRDefault="00A91370" w:rsidP="00A91370">
      <w:pPr>
        <w:pStyle w:val="StandardWeb"/>
        <w:spacing w:before="0" w:beforeAutospacing="0" w:after="0" w:afterAutospacing="0" w:line="276" w:lineRule="auto"/>
        <w:textAlignment w:val="baseline"/>
        <w:rPr>
          <w:rFonts w:ascii="Helvetica" w:hAnsi="Helvetica" w:cs="Arial"/>
          <w:sz w:val="22"/>
          <w:szCs w:val="22"/>
          <w:lang w:val="en-US"/>
        </w:rPr>
      </w:pPr>
      <w:r w:rsidRPr="00A91370">
        <w:rPr>
          <w:rFonts w:ascii="Helvetica" w:hAnsi="Helvetica" w:cs="Arial"/>
          <w:sz w:val="22"/>
          <w:szCs w:val="22"/>
          <w:lang w:val="en-US"/>
        </w:rPr>
        <w:t>+44 20 3545 1395</w:t>
      </w:r>
    </w:p>
    <w:p w14:paraId="61783A8D" w14:textId="77777777" w:rsidR="00A91370" w:rsidRPr="00A91370" w:rsidRDefault="00A91370" w:rsidP="00A91370">
      <w:pPr>
        <w:pStyle w:val="StandardWeb"/>
        <w:spacing w:before="0" w:beforeAutospacing="0" w:after="0" w:afterAutospacing="0" w:line="276" w:lineRule="auto"/>
        <w:textAlignment w:val="baseline"/>
        <w:rPr>
          <w:rStyle w:val="Hyperlink"/>
          <w:rFonts w:ascii="Helvetica" w:hAnsi="Helvetica" w:cs="Arial"/>
          <w:sz w:val="22"/>
          <w:szCs w:val="22"/>
          <w:lang w:val="en-US"/>
        </w:rPr>
      </w:pPr>
      <w:r>
        <w:fldChar w:fldCharType="begin"/>
      </w:r>
      <w:r w:rsidRPr="007A5120">
        <w:rPr>
          <w:lang w:val="en-US"/>
        </w:rPr>
        <w:instrText>HYPERLINK "mailto:Clare.Glynn@icgam.com"</w:instrText>
      </w:r>
      <w:r>
        <w:fldChar w:fldCharType="separate"/>
      </w:r>
      <w:r w:rsidRPr="00A91370">
        <w:rPr>
          <w:rStyle w:val="Hyperlink"/>
          <w:rFonts w:ascii="Helvetica" w:hAnsi="Helvetica" w:cs="Arial"/>
          <w:sz w:val="22"/>
          <w:szCs w:val="22"/>
          <w:lang w:val="en-US"/>
        </w:rPr>
        <w:t>Clare.Glynn@icgam.com</w:t>
      </w:r>
      <w:r>
        <w:rPr>
          <w:rStyle w:val="Hyperlink"/>
          <w:rFonts w:ascii="Helvetica" w:hAnsi="Helvetica" w:cs="Arial"/>
          <w:sz w:val="22"/>
          <w:szCs w:val="22"/>
          <w:lang w:val="en-US"/>
        </w:rPr>
        <w:fldChar w:fldCharType="end"/>
      </w:r>
    </w:p>
    <w:p w14:paraId="5C6B0F4F" w14:textId="77777777" w:rsidR="00A91370" w:rsidRPr="00A91370" w:rsidRDefault="00A91370" w:rsidP="00A91370">
      <w:pPr>
        <w:spacing w:line="276" w:lineRule="auto"/>
        <w:rPr>
          <w:rFonts w:ascii="Helvetica" w:hAnsi="Helvetica" w:cs="Arial"/>
          <w:sz w:val="22"/>
          <w:szCs w:val="22"/>
          <w:lang w:val="en-US"/>
        </w:rPr>
      </w:pPr>
    </w:p>
    <w:p w14:paraId="12372C9C" w14:textId="77777777" w:rsidR="00A91370" w:rsidRPr="00A91370" w:rsidRDefault="00A91370" w:rsidP="00A91370">
      <w:pPr>
        <w:spacing w:line="360" w:lineRule="auto"/>
        <w:rPr>
          <w:rFonts w:ascii="Helvetica" w:hAnsi="Helvetica" w:cs="Arial"/>
          <w:sz w:val="22"/>
          <w:szCs w:val="22"/>
          <w:lang w:val="en-US"/>
        </w:rPr>
      </w:pPr>
      <w:r w:rsidRPr="00A91370">
        <w:rPr>
          <w:rFonts w:ascii="Helvetica" w:hAnsi="Helvetica" w:cs="Arial"/>
          <w:sz w:val="22"/>
          <w:szCs w:val="22"/>
          <w:lang w:val="en-US"/>
        </w:rPr>
        <w:t>Catherine Armstrong</w:t>
      </w:r>
    </w:p>
    <w:p w14:paraId="69B70727" w14:textId="77777777" w:rsidR="00A91370" w:rsidRPr="00A91370" w:rsidRDefault="00A91370" w:rsidP="00A91370">
      <w:pPr>
        <w:pStyle w:val="StandardWeb"/>
        <w:spacing w:before="0" w:beforeAutospacing="0" w:after="0" w:afterAutospacing="0" w:line="276" w:lineRule="auto"/>
        <w:textAlignment w:val="baseline"/>
        <w:rPr>
          <w:rFonts w:ascii="Helvetica" w:hAnsi="Helvetica" w:cs="Arial"/>
          <w:sz w:val="22"/>
          <w:szCs w:val="22"/>
          <w:lang w:val="en-US"/>
        </w:rPr>
      </w:pPr>
      <w:r w:rsidRPr="00A91370">
        <w:rPr>
          <w:rFonts w:ascii="Helvetica" w:hAnsi="Helvetica" w:cs="Arial"/>
          <w:sz w:val="22"/>
          <w:szCs w:val="22"/>
          <w:lang w:val="en-US"/>
        </w:rPr>
        <w:t>+44 20 3545 1850</w:t>
      </w:r>
    </w:p>
    <w:p w14:paraId="2D9A62FF" w14:textId="77777777" w:rsidR="00A91370" w:rsidRPr="00A91370" w:rsidRDefault="00A91370" w:rsidP="00A91370">
      <w:pPr>
        <w:pStyle w:val="StandardWeb"/>
        <w:spacing w:before="0" w:beforeAutospacing="0" w:after="0" w:afterAutospacing="0" w:line="276" w:lineRule="auto"/>
        <w:textAlignment w:val="baseline"/>
        <w:rPr>
          <w:rFonts w:ascii="Helvetica" w:hAnsi="Helvetica" w:cs="Arial"/>
          <w:sz w:val="22"/>
          <w:szCs w:val="22"/>
          <w:lang w:val="en-US"/>
        </w:rPr>
      </w:pPr>
      <w:r>
        <w:fldChar w:fldCharType="begin"/>
      </w:r>
      <w:r w:rsidRPr="007A5120">
        <w:rPr>
          <w:lang w:val="en-US"/>
        </w:rPr>
        <w:instrText>HYPERLINK "mailto:Catherine.Armstrong@icgam.com"</w:instrText>
      </w:r>
      <w:r>
        <w:fldChar w:fldCharType="separate"/>
      </w:r>
      <w:r w:rsidRPr="00A91370">
        <w:rPr>
          <w:rStyle w:val="Hyperlink"/>
          <w:rFonts w:ascii="Helvetica" w:hAnsi="Helvetica" w:cs="Arial"/>
          <w:sz w:val="22"/>
          <w:szCs w:val="22"/>
          <w:lang w:val="en-US"/>
        </w:rPr>
        <w:t>Catherine.Armstrong@icgam.com</w:t>
      </w:r>
      <w:r>
        <w:rPr>
          <w:rStyle w:val="Hyperlink"/>
          <w:rFonts w:ascii="Helvetica" w:hAnsi="Helvetica" w:cs="Arial"/>
          <w:sz w:val="22"/>
          <w:szCs w:val="22"/>
          <w:lang w:val="en-US"/>
        </w:rPr>
        <w:fldChar w:fldCharType="end"/>
      </w:r>
    </w:p>
    <w:p w14:paraId="36E730F8" w14:textId="1BAA68F6" w:rsidR="00A91370" w:rsidRPr="00A91370" w:rsidRDefault="00A91370" w:rsidP="002E0C17">
      <w:pPr>
        <w:pStyle w:val="Text"/>
        <w:jc w:val="both"/>
        <w:outlineLvl w:val="0"/>
        <w:rPr>
          <w:rFonts w:cs="Arial"/>
          <w:color w:val="000000" w:themeColor="text1"/>
          <w:lang w:val="en-US"/>
        </w:rPr>
      </w:pPr>
    </w:p>
    <w:p w14:paraId="3ABE00BA" w14:textId="58F2CD1D" w:rsidR="00A91370" w:rsidRPr="00A91370" w:rsidRDefault="00A91370" w:rsidP="005F7168">
      <w:pPr>
        <w:pStyle w:val="StandardWeb"/>
        <w:rPr>
          <w:rStyle w:val="s1"/>
          <w:rFonts w:ascii="Helvetica" w:hAnsi="Helvetica" w:cs="Segoe UI"/>
          <w:color w:val="000000" w:themeColor="text1"/>
          <w:sz w:val="22"/>
          <w:szCs w:val="22"/>
        </w:rPr>
      </w:pPr>
      <w:r w:rsidRPr="00A91370">
        <w:rPr>
          <w:rStyle w:val="s1"/>
          <w:rFonts w:ascii="Helvetica" w:hAnsi="Helvetica" w:cs="Segoe UI"/>
          <w:b/>
          <w:bCs/>
          <w:color w:val="000000" w:themeColor="text1"/>
          <w:sz w:val="22"/>
          <w:szCs w:val="22"/>
        </w:rPr>
        <w:lastRenderedPageBreak/>
        <w:t>Informationen zur TNG Stadtnetz GmbH</w:t>
      </w:r>
      <w:r w:rsidRPr="00A91370">
        <w:rPr>
          <w:rStyle w:val="s1"/>
          <w:rFonts w:ascii="Helvetica" w:hAnsi="Helvetica" w:cs="Segoe UI"/>
          <w:b/>
          <w:bCs/>
          <w:color w:val="000000" w:themeColor="text1"/>
          <w:sz w:val="22"/>
          <w:szCs w:val="22"/>
        </w:rPr>
        <w:br/>
      </w:r>
      <w:r w:rsidR="005F7168">
        <w:rPr>
          <w:rStyle w:val="s1"/>
          <w:rFonts w:ascii="Helvetica" w:hAnsi="Helvetica" w:cs="Segoe UI"/>
          <w:color w:val="000000" w:themeColor="text1"/>
          <w:sz w:val="22"/>
          <w:szCs w:val="22"/>
        </w:rPr>
        <w:br/>
      </w:r>
      <w:r w:rsidRPr="00A91370">
        <w:rPr>
          <w:rStyle w:val="s1"/>
          <w:rFonts w:ascii="Helvetica" w:hAnsi="Helvetica" w:cs="Segoe UI"/>
          <w:color w:val="000000" w:themeColor="text1"/>
          <w:sz w:val="22"/>
          <w:szCs w:val="22"/>
        </w:rPr>
        <w:t>TNG wurde 1997 in Kiel gegründet und ist seither zu einem überregionalen FTTH-Anbieter gewachsen, dessen Netze eine Reichweite von über 250.000 Haushalten („</w:t>
      </w:r>
      <w:proofErr w:type="spellStart"/>
      <w:r w:rsidRPr="00A91370">
        <w:rPr>
          <w:rStyle w:val="s1"/>
          <w:rFonts w:ascii="Helvetica" w:hAnsi="Helvetica" w:cs="Segoe UI"/>
          <w:color w:val="000000" w:themeColor="text1"/>
          <w:sz w:val="22"/>
          <w:szCs w:val="22"/>
        </w:rPr>
        <w:t>homes</w:t>
      </w:r>
      <w:proofErr w:type="spellEnd"/>
      <w:r w:rsidRPr="00A91370">
        <w:rPr>
          <w:rStyle w:val="s1"/>
          <w:rFonts w:ascii="Helvetica" w:hAnsi="Helvetica" w:cs="Segoe UI"/>
          <w:color w:val="000000" w:themeColor="text1"/>
          <w:sz w:val="22"/>
          <w:szCs w:val="22"/>
        </w:rPr>
        <w:t xml:space="preserve"> </w:t>
      </w:r>
      <w:proofErr w:type="spellStart"/>
      <w:r w:rsidRPr="00A91370">
        <w:rPr>
          <w:rStyle w:val="s1"/>
          <w:rFonts w:ascii="Helvetica" w:hAnsi="Helvetica" w:cs="Segoe UI"/>
          <w:color w:val="000000" w:themeColor="text1"/>
          <w:sz w:val="22"/>
          <w:szCs w:val="22"/>
        </w:rPr>
        <w:t>passed</w:t>
      </w:r>
      <w:proofErr w:type="spellEnd"/>
      <w:r w:rsidRPr="00A91370">
        <w:rPr>
          <w:rStyle w:val="s1"/>
          <w:rFonts w:ascii="Helvetica" w:hAnsi="Helvetica" w:cs="Segoe UI"/>
          <w:color w:val="000000" w:themeColor="text1"/>
          <w:sz w:val="22"/>
          <w:szCs w:val="22"/>
        </w:rPr>
        <w:t xml:space="preserve">“) haben. </w:t>
      </w:r>
    </w:p>
    <w:p w14:paraId="262EB763" w14:textId="0C99CFEF" w:rsidR="00A91370" w:rsidRPr="00A91370" w:rsidRDefault="00A91370" w:rsidP="005F7168">
      <w:pPr>
        <w:pStyle w:val="StandardWeb"/>
        <w:rPr>
          <w:rStyle w:val="s1"/>
          <w:rFonts w:ascii="Helvetica" w:hAnsi="Helvetica" w:cs="Segoe UI"/>
          <w:color w:val="000000" w:themeColor="text1"/>
          <w:sz w:val="22"/>
          <w:szCs w:val="22"/>
        </w:rPr>
      </w:pPr>
      <w:r w:rsidRPr="00A91370">
        <w:rPr>
          <w:rStyle w:val="s1"/>
          <w:rFonts w:ascii="Helvetica" w:hAnsi="Helvetica" w:cs="Segoe UI"/>
          <w:color w:val="000000" w:themeColor="text1"/>
          <w:sz w:val="22"/>
          <w:szCs w:val="22"/>
        </w:rPr>
        <w:t xml:space="preserve">Das Kieler Unternehmen hat sich zu einem der führenden Telekommunikationsanbieter entwickelt und gehört zu den größten Breitbandanbietern in Deutschland. </w:t>
      </w:r>
      <w:proofErr w:type="gramStart"/>
      <w:r w:rsidRPr="00A91370">
        <w:rPr>
          <w:rStyle w:val="s1"/>
          <w:rFonts w:ascii="Helvetica" w:hAnsi="Helvetica" w:cs="Segoe UI"/>
          <w:color w:val="000000" w:themeColor="text1"/>
          <w:sz w:val="22"/>
          <w:szCs w:val="22"/>
        </w:rPr>
        <w:t>In 202</w:t>
      </w:r>
      <w:r w:rsidR="005609CA">
        <w:rPr>
          <w:rStyle w:val="s1"/>
          <w:rFonts w:ascii="Helvetica" w:hAnsi="Helvetica" w:cs="Segoe UI"/>
          <w:color w:val="000000" w:themeColor="text1"/>
          <w:sz w:val="22"/>
          <w:szCs w:val="22"/>
        </w:rPr>
        <w:t>3</w:t>
      </w:r>
      <w:proofErr w:type="gramEnd"/>
      <w:r w:rsidRPr="00A91370">
        <w:rPr>
          <w:rStyle w:val="s1"/>
          <w:rFonts w:ascii="Helvetica" w:hAnsi="Helvetica" w:cs="Segoe UI"/>
          <w:color w:val="000000" w:themeColor="text1"/>
          <w:sz w:val="22"/>
          <w:szCs w:val="22"/>
        </w:rPr>
        <w:t xml:space="preserve"> übernahm TNG die ehemalige sdt.net AG in Baden-Württemberg. Neben Kiel (Schleswig-Holstein) und Breitenbach (Hessen) gehört nun auch ein Standort in Aalen (Baden-Württemberg) zu TNG, wodurch das Unternehmen nun auch in Süddeutschland den Glasfaserausbau vorantreibt.</w:t>
      </w:r>
    </w:p>
    <w:p w14:paraId="693E264E" w14:textId="77777777" w:rsidR="00A91370" w:rsidRPr="00A91370" w:rsidRDefault="00A91370" w:rsidP="005F7168">
      <w:pPr>
        <w:pStyle w:val="StandardWeb"/>
        <w:rPr>
          <w:rStyle w:val="s1"/>
          <w:rFonts w:ascii="Helvetica" w:hAnsi="Helvetica" w:cs="Segoe UI"/>
          <w:color w:val="000000" w:themeColor="text1"/>
          <w:sz w:val="22"/>
          <w:szCs w:val="22"/>
        </w:rPr>
      </w:pPr>
      <w:r w:rsidRPr="00A91370">
        <w:rPr>
          <w:rStyle w:val="s1"/>
          <w:rFonts w:ascii="Helvetica" w:hAnsi="Helvetica" w:cs="Segoe UI"/>
          <w:color w:val="000000" w:themeColor="text1"/>
          <w:sz w:val="22"/>
          <w:szCs w:val="22"/>
        </w:rPr>
        <w:t xml:space="preserve">Seit 2013 errichtet </w:t>
      </w:r>
      <w:proofErr w:type="gramStart"/>
      <w:r w:rsidRPr="00A91370">
        <w:rPr>
          <w:rStyle w:val="s1"/>
          <w:rFonts w:ascii="Helvetica" w:hAnsi="Helvetica" w:cs="Segoe UI"/>
          <w:color w:val="000000" w:themeColor="text1"/>
          <w:sz w:val="22"/>
          <w:szCs w:val="22"/>
        </w:rPr>
        <w:t>TNG Glasfasernetze</w:t>
      </w:r>
      <w:proofErr w:type="gramEnd"/>
      <w:r w:rsidRPr="00A91370">
        <w:rPr>
          <w:rStyle w:val="s1"/>
          <w:rFonts w:ascii="Helvetica" w:hAnsi="Helvetica" w:cs="Segoe UI"/>
          <w:color w:val="000000" w:themeColor="text1"/>
          <w:sz w:val="22"/>
          <w:szCs w:val="22"/>
        </w:rPr>
        <w:t xml:space="preserve"> und hat sich zu einem vertikal-integrierten Anbieter entwickelt, der von Vermarktung, über Planung und Ausbau bis zum Betrieb alles unter einem Dach vereint, um so seinen Kunden eine moderne und zukunftssichere Breitbandanbindung zu bietet.</w:t>
      </w:r>
    </w:p>
    <w:p w14:paraId="10507A45" w14:textId="5E9D1F4C" w:rsidR="00A91370" w:rsidRPr="00A91370" w:rsidRDefault="00A91370" w:rsidP="005F7168">
      <w:pPr>
        <w:pStyle w:val="StandardWeb"/>
        <w:rPr>
          <w:rStyle w:val="s1"/>
          <w:rFonts w:ascii="Helvetica" w:hAnsi="Helvetica" w:cs="Segoe UI"/>
          <w:color w:val="000000" w:themeColor="text1"/>
          <w:sz w:val="22"/>
          <w:szCs w:val="22"/>
        </w:rPr>
      </w:pPr>
      <w:r w:rsidRPr="00A91370">
        <w:rPr>
          <w:rStyle w:val="s1"/>
          <w:rFonts w:ascii="Helvetica" w:hAnsi="Helvetica" w:cs="Segoe UI"/>
          <w:color w:val="000000" w:themeColor="text1"/>
          <w:sz w:val="22"/>
          <w:szCs w:val="22"/>
        </w:rPr>
        <w:t xml:space="preserve">Das TNG-Angebot umfasst Telefon, VDSL- und Glasfaseranschlüsse sowie Mobilfunk und TV. Darüber hinaus ermöglichen die IT-Lösungen unter der Marke </w:t>
      </w:r>
      <w:proofErr w:type="spellStart"/>
      <w:r w:rsidRPr="00A91370">
        <w:rPr>
          <w:rStyle w:val="s1"/>
          <w:rFonts w:ascii="Helvetica" w:hAnsi="Helvetica" w:cs="Segoe UI"/>
          <w:color w:val="000000" w:themeColor="text1"/>
          <w:sz w:val="22"/>
          <w:szCs w:val="22"/>
        </w:rPr>
        <w:t>ennit</w:t>
      </w:r>
      <w:proofErr w:type="spellEnd"/>
      <w:r w:rsidRPr="00A91370">
        <w:rPr>
          <w:rStyle w:val="s1"/>
          <w:rFonts w:ascii="Helvetica" w:hAnsi="Helvetica" w:cs="Segoe UI"/>
          <w:color w:val="000000" w:themeColor="text1"/>
          <w:sz w:val="22"/>
          <w:szCs w:val="22"/>
        </w:rPr>
        <w:t xml:space="preserve"> auch eine umfassende Versorgung für den Businessbereich. Sowohl TNG als auch </w:t>
      </w:r>
      <w:proofErr w:type="spellStart"/>
      <w:r w:rsidRPr="00A91370">
        <w:rPr>
          <w:rStyle w:val="s1"/>
          <w:rFonts w:ascii="Helvetica" w:hAnsi="Helvetica" w:cs="Segoe UI"/>
          <w:color w:val="000000" w:themeColor="text1"/>
          <w:sz w:val="22"/>
          <w:szCs w:val="22"/>
        </w:rPr>
        <w:t>ennit</w:t>
      </w:r>
      <w:proofErr w:type="spellEnd"/>
      <w:r w:rsidRPr="00A91370">
        <w:rPr>
          <w:rStyle w:val="s1"/>
          <w:rFonts w:ascii="Helvetica" w:hAnsi="Helvetica" w:cs="Segoe UI"/>
          <w:color w:val="000000" w:themeColor="text1"/>
          <w:sz w:val="22"/>
          <w:szCs w:val="22"/>
        </w:rPr>
        <w:t xml:space="preserve"> gehören der TNG</w:t>
      </w:r>
      <w:r w:rsidR="005609CA">
        <w:rPr>
          <w:rStyle w:val="s1"/>
          <w:rFonts w:ascii="Helvetica" w:hAnsi="Helvetica" w:cs="Segoe UI"/>
          <w:color w:val="000000" w:themeColor="text1"/>
          <w:sz w:val="22"/>
          <w:szCs w:val="22"/>
        </w:rPr>
        <w:t>-Gruppe mit der TNG</w:t>
      </w:r>
      <w:r w:rsidRPr="00A91370">
        <w:rPr>
          <w:rStyle w:val="s1"/>
          <w:rFonts w:ascii="Helvetica" w:hAnsi="Helvetica" w:cs="Segoe UI"/>
          <w:color w:val="000000" w:themeColor="text1"/>
          <w:sz w:val="22"/>
          <w:szCs w:val="22"/>
        </w:rPr>
        <w:t xml:space="preserve"> Glasfaser GmbH </w:t>
      </w:r>
      <w:r w:rsidR="005609CA">
        <w:rPr>
          <w:rStyle w:val="s1"/>
          <w:rFonts w:ascii="Helvetica" w:hAnsi="Helvetica" w:cs="Segoe UI"/>
          <w:color w:val="000000" w:themeColor="text1"/>
          <w:sz w:val="22"/>
          <w:szCs w:val="22"/>
        </w:rPr>
        <w:t xml:space="preserve">als Konzernmutter </w:t>
      </w:r>
      <w:r w:rsidRPr="00A91370">
        <w:rPr>
          <w:rStyle w:val="s1"/>
          <w:rFonts w:ascii="Helvetica" w:hAnsi="Helvetica" w:cs="Segoe UI"/>
          <w:color w:val="000000" w:themeColor="text1"/>
          <w:sz w:val="22"/>
          <w:szCs w:val="22"/>
        </w:rPr>
        <w:t>an.</w:t>
      </w:r>
    </w:p>
    <w:p w14:paraId="7A6F6D2C" w14:textId="77777777" w:rsidR="00A91370" w:rsidRPr="00A91370" w:rsidRDefault="00A91370" w:rsidP="005F7168">
      <w:pPr>
        <w:pStyle w:val="p1"/>
        <w:shd w:val="clear" w:color="auto" w:fill="FFFFFF"/>
        <w:spacing w:before="150" w:beforeAutospacing="0" w:after="0" w:afterAutospacing="0"/>
        <w:rPr>
          <w:rStyle w:val="s1"/>
          <w:rFonts w:ascii="Helvetica" w:hAnsi="Helvetica" w:cs="Segoe UI"/>
          <w:color w:val="000000" w:themeColor="text1"/>
          <w:sz w:val="22"/>
          <w:szCs w:val="22"/>
        </w:rPr>
      </w:pPr>
      <w:r w:rsidRPr="00A91370">
        <w:rPr>
          <w:rStyle w:val="s1"/>
          <w:rFonts w:ascii="Helvetica" w:hAnsi="Helvetica" w:cs="Segoe UI"/>
          <w:color w:val="000000" w:themeColor="text1"/>
          <w:sz w:val="22"/>
          <w:szCs w:val="22"/>
        </w:rPr>
        <w:t xml:space="preserve">Rund 400 </w:t>
      </w:r>
      <w:proofErr w:type="spellStart"/>
      <w:proofErr w:type="gramStart"/>
      <w:r w:rsidRPr="00A91370">
        <w:rPr>
          <w:rStyle w:val="s1"/>
          <w:rFonts w:ascii="Helvetica" w:hAnsi="Helvetica" w:cs="Segoe UI"/>
          <w:color w:val="000000" w:themeColor="text1"/>
          <w:sz w:val="22"/>
          <w:szCs w:val="22"/>
        </w:rPr>
        <w:t>Mitarbeiter:innen</w:t>
      </w:r>
      <w:proofErr w:type="spellEnd"/>
      <w:proofErr w:type="gramEnd"/>
      <w:r w:rsidRPr="00A91370">
        <w:rPr>
          <w:rStyle w:val="s1"/>
          <w:rFonts w:ascii="Helvetica" w:hAnsi="Helvetica" w:cs="Segoe UI"/>
          <w:color w:val="000000" w:themeColor="text1"/>
          <w:sz w:val="22"/>
          <w:szCs w:val="22"/>
        </w:rPr>
        <w:t xml:space="preserve"> arbeiten an den Standorten in Kiel, Felde, Hessen und Baden-Württemberg daran, Menschen miteinander zu verbinden.</w:t>
      </w:r>
    </w:p>
    <w:p w14:paraId="119DB7AC" w14:textId="77777777" w:rsidR="005F7168" w:rsidRPr="00A91370" w:rsidRDefault="005F7168" w:rsidP="002E0C17">
      <w:pPr>
        <w:pStyle w:val="Text"/>
        <w:jc w:val="both"/>
        <w:outlineLvl w:val="0"/>
        <w:rPr>
          <w:rFonts w:cs="Arial"/>
          <w:color w:val="000000" w:themeColor="text1"/>
        </w:rPr>
      </w:pPr>
    </w:p>
    <w:p w14:paraId="54CEA73D" w14:textId="77F1E0EC" w:rsidR="005F7168" w:rsidRPr="005F7168" w:rsidRDefault="005F7168" w:rsidP="005F7168">
      <w:pPr>
        <w:pStyle w:val="StandardWeb"/>
        <w:spacing w:before="0" w:beforeAutospacing="0" w:after="300" w:afterAutospacing="0" w:line="276" w:lineRule="auto"/>
        <w:textAlignment w:val="baseline"/>
        <w:rPr>
          <w:rFonts w:ascii="Helvetica" w:hAnsi="Helvetica" w:cs="Arial"/>
          <w:b/>
          <w:bCs/>
          <w:color w:val="000000"/>
          <w:sz w:val="22"/>
          <w:szCs w:val="22"/>
        </w:rPr>
      </w:pPr>
      <w:r>
        <w:rPr>
          <w:rFonts w:ascii="Helvetica" w:hAnsi="Helvetica" w:cs="Arial"/>
          <w:b/>
          <w:bCs/>
          <w:color w:val="000000"/>
          <w:sz w:val="22"/>
          <w:szCs w:val="22"/>
        </w:rPr>
        <w:t>Über</w:t>
      </w:r>
      <w:r w:rsidR="00A91370" w:rsidRPr="005F7168">
        <w:rPr>
          <w:rFonts w:ascii="Helvetica" w:hAnsi="Helvetica" w:cs="Arial"/>
          <w:b/>
          <w:bCs/>
          <w:color w:val="000000"/>
          <w:sz w:val="22"/>
          <w:szCs w:val="22"/>
        </w:rPr>
        <w:t xml:space="preserve"> ICG</w:t>
      </w:r>
      <w:r>
        <w:rPr>
          <w:rFonts w:ascii="Helvetica" w:hAnsi="Helvetica" w:cs="Arial"/>
          <w:b/>
          <w:bCs/>
          <w:color w:val="000000"/>
          <w:sz w:val="22"/>
          <w:szCs w:val="22"/>
        </w:rPr>
        <w:br/>
      </w:r>
      <w:r>
        <w:rPr>
          <w:rFonts w:ascii="Helvetica" w:hAnsi="Helvetica" w:cs="Arial"/>
          <w:color w:val="000000"/>
          <w:sz w:val="22"/>
          <w:szCs w:val="22"/>
        </w:rPr>
        <w:br/>
      </w:r>
      <w:proofErr w:type="spellStart"/>
      <w:r w:rsidRPr="005F7168">
        <w:rPr>
          <w:rFonts w:ascii="Helvetica" w:hAnsi="Helvetica" w:cs="Arial"/>
          <w:color w:val="000000"/>
          <w:sz w:val="22"/>
          <w:szCs w:val="22"/>
        </w:rPr>
        <w:t>ICG</w:t>
      </w:r>
      <w:proofErr w:type="spellEnd"/>
      <w:r w:rsidRPr="005F7168">
        <w:rPr>
          <w:rFonts w:ascii="Helvetica" w:hAnsi="Helvetica" w:cs="Arial"/>
          <w:color w:val="000000"/>
          <w:sz w:val="22"/>
          <w:szCs w:val="22"/>
        </w:rPr>
        <w:t xml:space="preserve"> bietet flexible Kapitallösungen, um Unternehmen bei ihrer Entwicklung und ihrem Wachstum zu unterstützen. </w:t>
      </w:r>
      <w:r>
        <w:rPr>
          <w:rFonts w:ascii="Helvetica" w:hAnsi="Helvetica" w:cs="Arial"/>
          <w:color w:val="000000"/>
          <w:sz w:val="22"/>
          <w:szCs w:val="22"/>
        </w:rPr>
        <w:t xml:space="preserve">ICG ist </w:t>
      </w:r>
      <w:r w:rsidRPr="005F7168">
        <w:rPr>
          <w:rFonts w:ascii="Helvetica" w:hAnsi="Helvetica" w:cs="Arial"/>
          <w:color w:val="000000"/>
          <w:sz w:val="22"/>
          <w:szCs w:val="22"/>
        </w:rPr>
        <w:t>ein weltweit führender alternativer Vermögensverwalter mit einer 35-jährigen Geschichte, der 106 Mrd. USD an Vermögenswerten* verwaltet und in die gesamte Kapitalstruktur investiert.</w:t>
      </w:r>
      <w:r>
        <w:rPr>
          <w:rFonts w:ascii="Helvetica" w:hAnsi="Helvetica" w:cs="Arial"/>
          <w:color w:val="000000"/>
          <w:sz w:val="22"/>
          <w:szCs w:val="22"/>
        </w:rPr>
        <w:t xml:space="preserve"> ICG ist dabei </w:t>
      </w:r>
      <w:r w:rsidRPr="005F7168">
        <w:rPr>
          <w:rFonts w:ascii="Helvetica" w:hAnsi="Helvetica" w:cs="Arial"/>
          <w:color w:val="000000"/>
          <w:sz w:val="22"/>
          <w:szCs w:val="22"/>
        </w:rPr>
        <w:t xml:space="preserve">in vier Anlageklassen tätig: Structured und Private Equity, Private </w:t>
      </w:r>
      <w:proofErr w:type="spellStart"/>
      <w:r w:rsidRPr="005F7168">
        <w:rPr>
          <w:rFonts w:ascii="Helvetica" w:hAnsi="Helvetica" w:cs="Arial"/>
          <w:color w:val="000000"/>
          <w:sz w:val="22"/>
          <w:szCs w:val="22"/>
        </w:rPr>
        <w:t>Debt</w:t>
      </w:r>
      <w:proofErr w:type="spellEnd"/>
      <w:r w:rsidRPr="005F7168">
        <w:rPr>
          <w:rFonts w:ascii="Helvetica" w:hAnsi="Helvetica" w:cs="Arial"/>
          <w:color w:val="000000"/>
          <w:sz w:val="22"/>
          <w:szCs w:val="22"/>
        </w:rPr>
        <w:t xml:space="preserve">, Real Assets und </w:t>
      </w:r>
      <w:proofErr w:type="spellStart"/>
      <w:r w:rsidRPr="005F7168">
        <w:rPr>
          <w:rFonts w:ascii="Helvetica" w:hAnsi="Helvetica" w:cs="Arial"/>
          <w:color w:val="000000"/>
          <w:sz w:val="22"/>
          <w:szCs w:val="22"/>
        </w:rPr>
        <w:t>Credit</w:t>
      </w:r>
      <w:proofErr w:type="spellEnd"/>
      <w:r w:rsidRPr="005F7168">
        <w:rPr>
          <w:rFonts w:ascii="Helvetica" w:hAnsi="Helvetica" w:cs="Arial"/>
          <w:color w:val="000000"/>
          <w:sz w:val="22"/>
          <w:szCs w:val="22"/>
        </w:rPr>
        <w:t>.</w:t>
      </w:r>
    </w:p>
    <w:p w14:paraId="16F2C0FB" w14:textId="3E6BA7E1" w:rsidR="005F7168" w:rsidRPr="005F7168" w:rsidRDefault="005F7168" w:rsidP="005F7168">
      <w:pPr>
        <w:pStyle w:val="StandardWeb"/>
        <w:spacing w:after="300" w:line="276" w:lineRule="auto"/>
        <w:textAlignment w:val="baseline"/>
        <w:rPr>
          <w:rFonts w:ascii="Helvetica" w:hAnsi="Helvetica" w:cs="Arial"/>
          <w:color w:val="000000"/>
          <w:sz w:val="22"/>
          <w:szCs w:val="22"/>
        </w:rPr>
      </w:pPr>
      <w:r>
        <w:rPr>
          <w:rFonts w:ascii="Helvetica" w:hAnsi="Helvetica" w:cs="Arial"/>
          <w:color w:val="000000"/>
          <w:sz w:val="22"/>
          <w:szCs w:val="22"/>
        </w:rPr>
        <w:t>ICG</w:t>
      </w:r>
      <w:r w:rsidRPr="005F7168">
        <w:rPr>
          <w:rFonts w:ascii="Helvetica" w:hAnsi="Helvetica" w:cs="Arial"/>
          <w:color w:val="000000"/>
          <w:sz w:val="22"/>
          <w:szCs w:val="22"/>
        </w:rPr>
        <w:t xml:space="preserve"> bau</w:t>
      </w:r>
      <w:r>
        <w:rPr>
          <w:rFonts w:ascii="Helvetica" w:hAnsi="Helvetica" w:cs="Arial"/>
          <w:color w:val="000000"/>
          <w:sz w:val="22"/>
          <w:szCs w:val="22"/>
        </w:rPr>
        <w:t>t</w:t>
      </w:r>
      <w:r w:rsidRPr="005F7168">
        <w:rPr>
          <w:rFonts w:ascii="Helvetica" w:hAnsi="Helvetica" w:cs="Arial"/>
          <w:color w:val="000000"/>
          <w:sz w:val="22"/>
          <w:szCs w:val="22"/>
        </w:rPr>
        <w:t xml:space="preserve"> langfristige Beziehungen zu Geschäftspartnern auf, um Mehrwert für Aktionäre, Kunden und Mitarbeiter zu schaffen, und nutz</w:t>
      </w:r>
      <w:r>
        <w:rPr>
          <w:rFonts w:ascii="Helvetica" w:hAnsi="Helvetica" w:cs="Arial"/>
          <w:color w:val="000000"/>
          <w:sz w:val="22"/>
          <w:szCs w:val="22"/>
        </w:rPr>
        <w:t>t</w:t>
      </w:r>
      <w:r w:rsidRPr="005F7168">
        <w:rPr>
          <w:rFonts w:ascii="Helvetica" w:hAnsi="Helvetica" w:cs="Arial"/>
          <w:color w:val="000000"/>
          <w:sz w:val="22"/>
          <w:szCs w:val="22"/>
        </w:rPr>
        <w:t xml:space="preserve"> </w:t>
      </w:r>
      <w:r>
        <w:rPr>
          <w:rFonts w:ascii="Helvetica" w:hAnsi="Helvetica" w:cs="Arial"/>
          <w:color w:val="000000"/>
          <w:sz w:val="22"/>
          <w:szCs w:val="22"/>
        </w:rPr>
        <w:t>seine</w:t>
      </w:r>
      <w:r w:rsidRPr="005F7168">
        <w:rPr>
          <w:rFonts w:ascii="Helvetica" w:hAnsi="Helvetica" w:cs="Arial"/>
          <w:color w:val="000000"/>
          <w:sz w:val="22"/>
          <w:szCs w:val="22"/>
        </w:rPr>
        <w:t xml:space="preserve"> Einflussmöglichkeiten zum Nutzen von Umwelt und Gesellschaft. </w:t>
      </w:r>
      <w:r>
        <w:rPr>
          <w:rFonts w:ascii="Helvetica" w:hAnsi="Helvetica" w:cs="Arial"/>
          <w:color w:val="000000"/>
          <w:sz w:val="22"/>
          <w:szCs w:val="22"/>
        </w:rPr>
        <w:t>Das Unternehmen ist</w:t>
      </w:r>
      <w:r w:rsidRPr="005F7168">
        <w:rPr>
          <w:rFonts w:ascii="Helvetica" w:hAnsi="Helvetica" w:cs="Arial"/>
          <w:color w:val="000000"/>
          <w:sz w:val="22"/>
          <w:szCs w:val="22"/>
        </w:rPr>
        <w:t xml:space="preserve"> bestrebt, bis 2040 in allen </w:t>
      </w:r>
      <w:r>
        <w:rPr>
          <w:rFonts w:ascii="Helvetica" w:hAnsi="Helvetica" w:cs="Arial"/>
          <w:color w:val="000000"/>
          <w:sz w:val="22"/>
          <w:szCs w:val="22"/>
        </w:rPr>
        <w:t>seinen</w:t>
      </w:r>
      <w:r w:rsidRPr="005F7168">
        <w:rPr>
          <w:rFonts w:ascii="Helvetica" w:hAnsi="Helvetica" w:cs="Arial"/>
          <w:color w:val="000000"/>
          <w:sz w:val="22"/>
          <w:szCs w:val="22"/>
        </w:rPr>
        <w:t xml:space="preserve"> Geschäftsbereichen und relevanten Investitionen ein Netto-Null-Asset-Manager zu sein.</w:t>
      </w:r>
    </w:p>
    <w:p w14:paraId="79E20D49" w14:textId="1ADD0268" w:rsidR="005F7168" w:rsidRPr="005F7168" w:rsidRDefault="005F7168" w:rsidP="005F7168">
      <w:pPr>
        <w:pStyle w:val="StandardWeb"/>
        <w:spacing w:after="300" w:line="276" w:lineRule="auto"/>
        <w:textAlignment w:val="baseline"/>
        <w:rPr>
          <w:rFonts w:ascii="Helvetica" w:hAnsi="Helvetica" w:cs="Arial"/>
          <w:color w:val="000000"/>
          <w:sz w:val="22"/>
          <w:szCs w:val="22"/>
        </w:rPr>
      </w:pPr>
      <w:r w:rsidRPr="005F7168">
        <w:rPr>
          <w:rFonts w:ascii="Helvetica" w:hAnsi="Helvetica" w:cs="Arial"/>
          <w:color w:val="000000"/>
          <w:sz w:val="22"/>
          <w:szCs w:val="22"/>
        </w:rPr>
        <w:t>ICG ist ein Mitglied des FTSE 100 und an der Londoner Börse notiert (Tickersymbol: ICG). Weitere Informationen finden Sie unter www.icgam.com</w:t>
      </w:r>
      <w:r>
        <w:rPr>
          <w:rFonts w:ascii="Helvetica" w:hAnsi="Helvetica" w:cs="Arial"/>
          <w:color w:val="000000"/>
          <w:sz w:val="22"/>
          <w:szCs w:val="22"/>
        </w:rPr>
        <w:t xml:space="preserve"> oder auf </w:t>
      </w:r>
      <w:r w:rsidRPr="005F7168">
        <w:rPr>
          <w:rFonts w:ascii="Helvetica" w:hAnsi="Helvetica" w:cs="Arial"/>
          <w:color w:val="000000"/>
          <w:sz w:val="22"/>
          <w:szCs w:val="22"/>
        </w:rPr>
        <w:t>LinkedIn und Instagram.</w:t>
      </w:r>
    </w:p>
    <w:p w14:paraId="70249AE2" w14:textId="77777777" w:rsidR="005F7168" w:rsidRPr="005F7168" w:rsidRDefault="005F7168" w:rsidP="005F7168">
      <w:pPr>
        <w:pStyle w:val="StandardWeb"/>
        <w:spacing w:after="300" w:line="276" w:lineRule="auto"/>
        <w:textAlignment w:val="baseline"/>
        <w:rPr>
          <w:rFonts w:ascii="Helvetica" w:hAnsi="Helvetica" w:cs="Arial"/>
          <w:color w:val="000000"/>
          <w:sz w:val="22"/>
          <w:szCs w:val="22"/>
        </w:rPr>
      </w:pPr>
      <w:r w:rsidRPr="005F7168">
        <w:rPr>
          <w:rFonts w:ascii="Helvetica" w:hAnsi="Helvetica" w:cs="Arial"/>
          <w:color w:val="000000"/>
          <w:sz w:val="22"/>
          <w:szCs w:val="22"/>
        </w:rPr>
        <w:t>*Performance in der Vergangenheit ist kein verlässlicher Indikator für zukünftige Ergebnisse; Stand: 30. September 2024.</w:t>
      </w:r>
    </w:p>
    <w:p w14:paraId="125BA8BE" w14:textId="23FE2301" w:rsidR="00A91370" w:rsidRPr="005F7168" w:rsidRDefault="005F7168" w:rsidP="005F7168">
      <w:pPr>
        <w:pStyle w:val="StandardWeb"/>
        <w:spacing w:after="300" w:line="276" w:lineRule="auto"/>
        <w:textAlignment w:val="baseline"/>
        <w:rPr>
          <w:rFonts w:ascii="Helvetica" w:hAnsi="Helvetica" w:cs="Arial"/>
          <w:b/>
          <w:bCs/>
          <w:color w:val="000000"/>
          <w:sz w:val="22"/>
          <w:szCs w:val="22"/>
        </w:rPr>
      </w:pPr>
      <w:r w:rsidRPr="005F7168">
        <w:rPr>
          <w:rFonts w:ascii="Helvetica" w:hAnsi="Helvetica" w:cs="Arial"/>
          <w:b/>
          <w:bCs/>
          <w:color w:val="000000"/>
          <w:sz w:val="22"/>
          <w:szCs w:val="22"/>
        </w:rPr>
        <w:t xml:space="preserve">Über ICG </w:t>
      </w:r>
      <w:proofErr w:type="spellStart"/>
      <w:r w:rsidRPr="005F7168">
        <w:rPr>
          <w:rFonts w:ascii="Helvetica" w:hAnsi="Helvetica" w:cs="Arial"/>
          <w:b/>
          <w:bCs/>
          <w:color w:val="000000"/>
          <w:sz w:val="22"/>
          <w:szCs w:val="22"/>
        </w:rPr>
        <w:t>Infra</w:t>
      </w:r>
      <w:proofErr w:type="spellEnd"/>
      <w:r w:rsidRPr="005F7168">
        <w:rPr>
          <w:rFonts w:ascii="Helvetica" w:hAnsi="Helvetica" w:cs="Arial"/>
          <w:b/>
          <w:bCs/>
          <w:color w:val="000000"/>
          <w:sz w:val="22"/>
          <w:szCs w:val="22"/>
        </w:rPr>
        <w:t xml:space="preserve"> </w:t>
      </w:r>
      <w:r>
        <w:rPr>
          <w:rFonts w:ascii="Helvetica" w:hAnsi="Helvetica" w:cs="Arial"/>
          <w:b/>
          <w:bCs/>
          <w:color w:val="000000"/>
          <w:sz w:val="22"/>
          <w:szCs w:val="22"/>
        </w:rPr>
        <w:br/>
      </w:r>
      <w:r>
        <w:rPr>
          <w:rFonts w:ascii="Helvetica" w:hAnsi="Helvetica" w:cs="Arial"/>
          <w:b/>
          <w:bCs/>
          <w:color w:val="000000"/>
          <w:sz w:val="22"/>
          <w:szCs w:val="22"/>
        </w:rPr>
        <w:br/>
      </w:r>
      <w:r w:rsidRPr="005F7168">
        <w:rPr>
          <w:rFonts w:ascii="Helvetica" w:hAnsi="Helvetica" w:cs="Arial"/>
          <w:color w:val="000000"/>
          <w:sz w:val="22"/>
          <w:szCs w:val="22"/>
        </w:rPr>
        <w:t xml:space="preserve">Das ICG Infra-Team verwaltet ca. 3,4 Mrd. Euro in Europa und sucht Partnerschaften mit erfolgreichen Managementteams und Gründern, um Wachstumskapital für mittelständische </w:t>
      </w:r>
      <w:r w:rsidRPr="005F7168">
        <w:rPr>
          <w:rFonts w:ascii="Helvetica" w:hAnsi="Helvetica" w:cs="Arial"/>
          <w:color w:val="000000"/>
          <w:sz w:val="22"/>
          <w:szCs w:val="22"/>
        </w:rPr>
        <w:lastRenderedPageBreak/>
        <w:t>Unternehmen in den Bereichen Energiewende, Digitalisierung und Mobilität bereitzustellen. Das Team nutzt die DNA von ICG für maßgeschneiderte Kapitallösungen, indem es über verschiedene Kapitalstrukturen hinweg in Eigenkapital und strukturierte Eigenkapitalinstrumente investiert und so ein defensives Risiko-Rendite-Profil für sein Portfolio schafft, während es gleichzeitig beständige Renditen für seine Investoren anstrebt.</w:t>
      </w:r>
    </w:p>
    <w:sectPr w:rsidR="00A91370" w:rsidRPr="005F7168" w:rsidSect="00D304C2">
      <w:headerReference w:type="default" r:id="rId7"/>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BA4DC" w14:textId="77777777" w:rsidR="00460F36" w:rsidRDefault="00460F36">
      <w:r>
        <w:separator/>
      </w:r>
    </w:p>
  </w:endnote>
  <w:endnote w:type="continuationSeparator" w:id="0">
    <w:p w14:paraId="31476799" w14:textId="77777777" w:rsidR="00460F36" w:rsidRDefault="0046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0A772" w14:textId="77777777" w:rsidR="00460F36" w:rsidRDefault="00460F36">
      <w:r>
        <w:separator/>
      </w:r>
    </w:p>
  </w:footnote>
  <w:footnote w:type="continuationSeparator" w:id="0">
    <w:p w14:paraId="4C04D85C" w14:textId="77777777" w:rsidR="00460F36" w:rsidRDefault="0046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FE6B3" w14:textId="63570FAC" w:rsidR="00133BBF" w:rsidRDefault="00970EC1" w:rsidP="00E53F4F">
    <w:pPr>
      <w:pStyle w:val="Kopf-undFuzeilen"/>
      <w:tabs>
        <w:tab w:val="clear" w:pos="9020"/>
        <w:tab w:val="center" w:pos="4819"/>
        <w:tab w:val="right" w:pos="9638"/>
      </w:tabs>
      <w:jc w:val="center"/>
    </w:pPr>
    <w:r w:rsidRPr="000A12CF">
      <w:rPr>
        <w:rFonts w:ascii="Arial" w:hAnsi="Arial" w:cs="Arial"/>
        <w:noProof/>
      </w:rPr>
      <w:drawing>
        <wp:anchor distT="0" distB="0" distL="114300" distR="114300" simplePos="0" relativeHeight="251661312" behindDoc="0" locked="0" layoutInCell="1" allowOverlap="1" wp14:anchorId="1E011AF8" wp14:editId="0E628EAD">
          <wp:simplePos x="0" y="0"/>
          <wp:positionH relativeFrom="column">
            <wp:posOffset>120812</wp:posOffset>
          </wp:positionH>
          <wp:positionV relativeFrom="paragraph">
            <wp:posOffset>120650</wp:posOffset>
          </wp:positionV>
          <wp:extent cx="850265" cy="366395"/>
          <wp:effectExtent l="0" t="0" r="635" b="1905"/>
          <wp:wrapSquare wrapText="bothSides"/>
          <wp:docPr id="1274735969" name="Picture 1" descr="A picture containing graphics, font, graphic design,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735969" name="Picture 1" descr="A picture containing graphics, font, graphic design, circ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026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719E2">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6E2908"/>
    <w:multiLevelType w:val="hybridMultilevel"/>
    <w:tmpl w:val="DD7A40F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50772757">
    <w:abstractNumId w:val="1"/>
  </w:num>
  <w:num w:numId="2" w16cid:durableId="1209533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C2C"/>
    <w:rsid w:val="00001FF1"/>
    <w:rsid w:val="00015C5F"/>
    <w:rsid w:val="00022DB9"/>
    <w:rsid w:val="00037070"/>
    <w:rsid w:val="000375BA"/>
    <w:rsid w:val="00043035"/>
    <w:rsid w:val="00045D85"/>
    <w:rsid w:val="00060DD0"/>
    <w:rsid w:val="00061886"/>
    <w:rsid w:val="00071176"/>
    <w:rsid w:val="000719E2"/>
    <w:rsid w:val="000749B2"/>
    <w:rsid w:val="00075DE9"/>
    <w:rsid w:val="00076204"/>
    <w:rsid w:val="00080945"/>
    <w:rsid w:val="000930AB"/>
    <w:rsid w:val="00096195"/>
    <w:rsid w:val="000A6C46"/>
    <w:rsid w:val="000B6039"/>
    <w:rsid w:val="000C66DE"/>
    <w:rsid w:val="000C72A1"/>
    <w:rsid w:val="000D5DBF"/>
    <w:rsid w:val="000F3183"/>
    <w:rsid w:val="000F7112"/>
    <w:rsid w:val="000F7350"/>
    <w:rsid w:val="0010020A"/>
    <w:rsid w:val="0010202F"/>
    <w:rsid w:val="00133BBF"/>
    <w:rsid w:val="00135690"/>
    <w:rsid w:val="00146183"/>
    <w:rsid w:val="00146C6E"/>
    <w:rsid w:val="001531BD"/>
    <w:rsid w:val="00176101"/>
    <w:rsid w:val="00181409"/>
    <w:rsid w:val="001D2E7B"/>
    <w:rsid w:val="001D46FF"/>
    <w:rsid w:val="001D6842"/>
    <w:rsid w:val="001E48C4"/>
    <w:rsid w:val="001E4C54"/>
    <w:rsid w:val="001F5153"/>
    <w:rsid w:val="001F6924"/>
    <w:rsid w:val="002050E5"/>
    <w:rsid w:val="00207DA0"/>
    <w:rsid w:val="00211370"/>
    <w:rsid w:val="00230F1A"/>
    <w:rsid w:val="0024097A"/>
    <w:rsid w:val="00245234"/>
    <w:rsid w:val="0024593A"/>
    <w:rsid w:val="00252B42"/>
    <w:rsid w:val="00253530"/>
    <w:rsid w:val="002644F0"/>
    <w:rsid w:val="0028243C"/>
    <w:rsid w:val="002834D7"/>
    <w:rsid w:val="00295D6E"/>
    <w:rsid w:val="002A1CA7"/>
    <w:rsid w:val="002A3FD5"/>
    <w:rsid w:val="002A4491"/>
    <w:rsid w:val="002C275C"/>
    <w:rsid w:val="002E0C17"/>
    <w:rsid w:val="00303780"/>
    <w:rsid w:val="0030453F"/>
    <w:rsid w:val="00314938"/>
    <w:rsid w:val="00317E5F"/>
    <w:rsid w:val="003559F8"/>
    <w:rsid w:val="003623D4"/>
    <w:rsid w:val="00387A5C"/>
    <w:rsid w:val="00390D85"/>
    <w:rsid w:val="003B2F89"/>
    <w:rsid w:val="003D37CA"/>
    <w:rsid w:val="004001EE"/>
    <w:rsid w:val="004217FE"/>
    <w:rsid w:val="00444B77"/>
    <w:rsid w:val="004529C8"/>
    <w:rsid w:val="00460F36"/>
    <w:rsid w:val="0047072F"/>
    <w:rsid w:val="004904F7"/>
    <w:rsid w:val="004A107A"/>
    <w:rsid w:val="004A5557"/>
    <w:rsid w:val="004B20FD"/>
    <w:rsid w:val="004B73CA"/>
    <w:rsid w:val="004C7EE2"/>
    <w:rsid w:val="004D3DC3"/>
    <w:rsid w:val="004D546C"/>
    <w:rsid w:val="004E111A"/>
    <w:rsid w:val="004E68D0"/>
    <w:rsid w:val="0050435C"/>
    <w:rsid w:val="00512DE4"/>
    <w:rsid w:val="005266A5"/>
    <w:rsid w:val="005314A7"/>
    <w:rsid w:val="0053216D"/>
    <w:rsid w:val="00532D2A"/>
    <w:rsid w:val="005360C2"/>
    <w:rsid w:val="00536659"/>
    <w:rsid w:val="0054091F"/>
    <w:rsid w:val="00542366"/>
    <w:rsid w:val="00544DBB"/>
    <w:rsid w:val="005542CD"/>
    <w:rsid w:val="005609CA"/>
    <w:rsid w:val="00563618"/>
    <w:rsid w:val="0059452F"/>
    <w:rsid w:val="00595608"/>
    <w:rsid w:val="005A2C4E"/>
    <w:rsid w:val="005A2FD9"/>
    <w:rsid w:val="005B4B87"/>
    <w:rsid w:val="005B4F07"/>
    <w:rsid w:val="005D3313"/>
    <w:rsid w:val="005D6C11"/>
    <w:rsid w:val="005E68F0"/>
    <w:rsid w:val="005F6F25"/>
    <w:rsid w:val="005F7168"/>
    <w:rsid w:val="00610E98"/>
    <w:rsid w:val="00622D73"/>
    <w:rsid w:val="006274A9"/>
    <w:rsid w:val="006414C2"/>
    <w:rsid w:val="00642076"/>
    <w:rsid w:val="00642FA6"/>
    <w:rsid w:val="00653867"/>
    <w:rsid w:val="00660177"/>
    <w:rsid w:val="006629D3"/>
    <w:rsid w:val="006634D6"/>
    <w:rsid w:val="00672B97"/>
    <w:rsid w:val="0068065D"/>
    <w:rsid w:val="00681A6D"/>
    <w:rsid w:val="0068308B"/>
    <w:rsid w:val="00684638"/>
    <w:rsid w:val="00686503"/>
    <w:rsid w:val="0068740F"/>
    <w:rsid w:val="00690241"/>
    <w:rsid w:val="006921CD"/>
    <w:rsid w:val="006A695A"/>
    <w:rsid w:val="006B1106"/>
    <w:rsid w:val="006B2F1E"/>
    <w:rsid w:val="006B464F"/>
    <w:rsid w:val="006C1F03"/>
    <w:rsid w:val="006C31B6"/>
    <w:rsid w:val="006D60B6"/>
    <w:rsid w:val="006F25CE"/>
    <w:rsid w:val="006F4C78"/>
    <w:rsid w:val="006F57FA"/>
    <w:rsid w:val="00703CD8"/>
    <w:rsid w:val="00706638"/>
    <w:rsid w:val="0071344E"/>
    <w:rsid w:val="00727EFD"/>
    <w:rsid w:val="0073213A"/>
    <w:rsid w:val="007345B8"/>
    <w:rsid w:val="007418AF"/>
    <w:rsid w:val="007448A0"/>
    <w:rsid w:val="00746A58"/>
    <w:rsid w:val="00755AD7"/>
    <w:rsid w:val="007637BB"/>
    <w:rsid w:val="00771CC1"/>
    <w:rsid w:val="00775EE7"/>
    <w:rsid w:val="00796C26"/>
    <w:rsid w:val="007A5120"/>
    <w:rsid w:val="007C3EB5"/>
    <w:rsid w:val="007D746F"/>
    <w:rsid w:val="007E29B6"/>
    <w:rsid w:val="007F0C4A"/>
    <w:rsid w:val="007F2B1C"/>
    <w:rsid w:val="007F2DD5"/>
    <w:rsid w:val="00836000"/>
    <w:rsid w:val="008409D4"/>
    <w:rsid w:val="0084182C"/>
    <w:rsid w:val="00843646"/>
    <w:rsid w:val="00871161"/>
    <w:rsid w:val="008A1582"/>
    <w:rsid w:val="008F0099"/>
    <w:rsid w:val="0092173B"/>
    <w:rsid w:val="0092411A"/>
    <w:rsid w:val="00930CE9"/>
    <w:rsid w:val="009358DD"/>
    <w:rsid w:val="0094024C"/>
    <w:rsid w:val="0095434C"/>
    <w:rsid w:val="0096354F"/>
    <w:rsid w:val="00965805"/>
    <w:rsid w:val="00966E78"/>
    <w:rsid w:val="00970EC1"/>
    <w:rsid w:val="0097735E"/>
    <w:rsid w:val="00991D9E"/>
    <w:rsid w:val="009A02C6"/>
    <w:rsid w:val="009B30F3"/>
    <w:rsid w:val="009B753B"/>
    <w:rsid w:val="009F07D3"/>
    <w:rsid w:val="00A06EF8"/>
    <w:rsid w:val="00A108A5"/>
    <w:rsid w:val="00A14490"/>
    <w:rsid w:val="00A21DDE"/>
    <w:rsid w:val="00A2245A"/>
    <w:rsid w:val="00A23420"/>
    <w:rsid w:val="00A337AA"/>
    <w:rsid w:val="00A43C2A"/>
    <w:rsid w:val="00A530EC"/>
    <w:rsid w:val="00A722E6"/>
    <w:rsid w:val="00A84379"/>
    <w:rsid w:val="00A91370"/>
    <w:rsid w:val="00AA2D50"/>
    <w:rsid w:val="00AB5F84"/>
    <w:rsid w:val="00AC51A3"/>
    <w:rsid w:val="00AC72AB"/>
    <w:rsid w:val="00AD4DD5"/>
    <w:rsid w:val="00AE68DA"/>
    <w:rsid w:val="00AF2B47"/>
    <w:rsid w:val="00B01875"/>
    <w:rsid w:val="00B14432"/>
    <w:rsid w:val="00B341DB"/>
    <w:rsid w:val="00B34674"/>
    <w:rsid w:val="00B406AB"/>
    <w:rsid w:val="00B456CB"/>
    <w:rsid w:val="00B53C0C"/>
    <w:rsid w:val="00B62E31"/>
    <w:rsid w:val="00B72807"/>
    <w:rsid w:val="00B73B27"/>
    <w:rsid w:val="00BA3F66"/>
    <w:rsid w:val="00BA45CD"/>
    <w:rsid w:val="00BA568C"/>
    <w:rsid w:val="00BA7F64"/>
    <w:rsid w:val="00BB34C5"/>
    <w:rsid w:val="00BC3A7B"/>
    <w:rsid w:val="00BE7FCD"/>
    <w:rsid w:val="00BF13E5"/>
    <w:rsid w:val="00C0708C"/>
    <w:rsid w:val="00C2690C"/>
    <w:rsid w:val="00C378C4"/>
    <w:rsid w:val="00C40AA0"/>
    <w:rsid w:val="00C56BBE"/>
    <w:rsid w:val="00C60590"/>
    <w:rsid w:val="00C62E7B"/>
    <w:rsid w:val="00C67A14"/>
    <w:rsid w:val="00C7096F"/>
    <w:rsid w:val="00C75F1D"/>
    <w:rsid w:val="00C80202"/>
    <w:rsid w:val="00C82E9D"/>
    <w:rsid w:val="00C913CA"/>
    <w:rsid w:val="00CD238C"/>
    <w:rsid w:val="00CE4062"/>
    <w:rsid w:val="00CF1FA9"/>
    <w:rsid w:val="00CF2640"/>
    <w:rsid w:val="00CF35FC"/>
    <w:rsid w:val="00CF656E"/>
    <w:rsid w:val="00D10832"/>
    <w:rsid w:val="00D15E62"/>
    <w:rsid w:val="00D20EB7"/>
    <w:rsid w:val="00D23F1E"/>
    <w:rsid w:val="00D27D71"/>
    <w:rsid w:val="00D304C2"/>
    <w:rsid w:val="00D4106C"/>
    <w:rsid w:val="00D42061"/>
    <w:rsid w:val="00D45F34"/>
    <w:rsid w:val="00D46A6B"/>
    <w:rsid w:val="00D545B6"/>
    <w:rsid w:val="00D630F1"/>
    <w:rsid w:val="00D738E5"/>
    <w:rsid w:val="00D9352D"/>
    <w:rsid w:val="00DB4C2C"/>
    <w:rsid w:val="00DC4133"/>
    <w:rsid w:val="00DD7159"/>
    <w:rsid w:val="00E145C0"/>
    <w:rsid w:val="00E21178"/>
    <w:rsid w:val="00E2122C"/>
    <w:rsid w:val="00E2309F"/>
    <w:rsid w:val="00E23F30"/>
    <w:rsid w:val="00E27F31"/>
    <w:rsid w:val="00E316E3"/>
    <w:rsid w:val="00E40902"/>
    <w:rsid w:val="00E41F93"/>
    <w:rsid w:val="00E476F2"/>
    <w:rsid w:val="00E50CD2"/>
    <w:rsid w:val="00E56DAE"/>
    <w:rsid w:val="00E61042"/>
    <w:rsid w:val="00E662E4"/>
    <w:rsid w:val="00E830EC"/>
    <w:rsid w:val="00E857D5"/>
    <w:rsid w:val="00EB1DAC"/>
    <w:rsid w:val="00EB4311"/>
    <w:rsid w:val="00EB4C57"/>
    <w:rsid w:val="00ED064B"/>
    <w:rsid w:val="00EE7AAC"/>
    <w:rsid w:val="00F06E4C"/>
    <w:rsid w:val="00F21082"/>
    <w:rsid w:val="00F42331"/>
    <w:rsid w:val="00F510AD"/>
    <w:rsid w:val="00F57ADD"/>
    <w:rsid w:val="00F7320B"/>
    <w:rsid w:val="00F7725C"/>
    <w:rsid w:val="00F87124"/>
    <w:rsid w:val="00FA2AC3"/>
    <w:rsid w:val="00FB4B4E"/>
    <w:rsid w:val="00FC7559"/>
    <w:rsid w:val="00FD0481"/>
    <w:rsid w:val="00FE1D78"/>
    <w:rsid w:val="00FE1F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customStyle="1" w:styleId="NichtaufgelsteErwhnung1">
    <w:name w:val="Nicht aufgelöste Erwähnung1"/>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unhideWhenUsed/>
    <w:rsid w:val="007637BB"/>
    <w:rPr>
      <w:sz w:val="20"/>
      <w:szCs w:val="20"/>
    </w:rPr>
  </w:style>
  <w:style w:type="character" w:customStyle="1" w:styleId="KommentartextZchn">
    <w:name w:val="Kommentartext Zchn"/>
    <w:basedOn w:val="Absatz-Standardschriftart"/>
    <w:link w:val="Kommentartext"/>
    <w:uiPriority w:val="99"/>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 w:type="paragraph" w:styleId="Kopfzeile">
    <w:name w:val="header"/>
    <w:basedOn w:val="Standard"/>
    <w:link w:val="KopfzeileZchn"/>
    <w:uiPriority w:val="99"/>
    <w:unhideWhenUsed/>
    <w:rsid w:val="00970EC1"/>
    <w:pPr>
      <w:tabs>
        <w:tab w:val="center" w:pos="4536"/>
        <w:tab w:val="right" w:pos="9072"/>
      </w:tabs>
    </w:pPr>
  </w:style>
  <w:style w:type="character" w:customStyle="1" w:styleId="KopfzeileZchn">
    <w:name w:val="Kopfzeile Zchn"/>
    <w:basedOn w:val="Absatz-Standardschriftart"/>
    <w:link w:val="Kopfzeile"/>
    <w:uiPriority w:val="99"/>
    <w:rsid w:val="00970EC1"/>
    <w:rPr>
      <w:rFonts w:ascii="Times New Roman" w:eastAsia="Times New Roman" w:hAnsi="Times New Roman" w:cs="Times New Roman"/>
      <w:lang w:eastAsia="de-DE"/>
    </w:rPr>
  </w:style>
  <w:style w:type="paragraph" w:styleId="Fuzeile">
    <w:name w:val="footer"/>
    <w:basedOn w:val="Standard"/>
    <w:link w:val="FuzeileZchn"/>
    <w:uiPriority w:val="99"/>
    <w:unhideWhenUsed/>
    <w:rsid w:val="00970EC1"/>
    <w:pPr>
      <w:tabs>
        <w:tab w:val="center" w:pos="4536"/>
        <w:tab w:val="right" w:pos="9072"/>
      </w:tabs>
    </w:pPr>
  </w:style>
  <w:style w:type="character" w:customStyle="1" w:styleId="FuzeileZchn">
    <w:name w:val="Fußzeile Zchn"/>
    <w:basedOn w:val="Absatz-Standardschriftart"/>
    <w:link w:val="Fuzeile"/>
    <w:uiPriority w:val="99"/>
    <w:rsid w:val="00970EC1"/>
    <w:rPr>
      <w:rFonts w:ascii="Times New Roman" w:eastAsia="Times New Roman" w:hAnsi="Times New Roman" w:cs="Times New Roman"/>
      <w:lang w:eastAsia="de-DE"/>
    </w:rPr>
  </w:style>
  <w:style w:type="character" w:styleId="NichtaufgelsteErwhnung">
    <w:name w:val="Unresolved Mention"/>
    <w:basedOn w:val="Absatz-Standardschriftart"/>
    <w:uiPriority w:val="99"/>
    <w:semiHidden/>
    <w:unhideWhenUsed/>
    <w:rsid w:val="005F7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794759580">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5888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Bettina Büll</cp:lastModifiedBy>
  <cp:revision>11</cp:revision>
  <dcterms:created xsi:type="dcterms:W3CDTF">2024-12-02T16:09:00Z</dcterms:created>
  <dcterms:modified xsi:type="dcterms:W3CDTF">2024-12-04T09:41:00Z</dcterms:modified>
</cp:coreProperties>
</file>