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7DFF" w14:textId="77777777" w:rsidR="000965D3" w:rsidRPr="000965D3" w:rsidRDefault="000965D3" w:rsidP="000965D3">
      <w:pPr>
        <w:spacing w:line="360" w:lineRule="auto"/>
        <w:rPr>
          <w:rFonts w:ascii="Helvetica" w:hAnsi="Helvetica"/>
          <w:b/>
          <w:bCs/>
          <w:sz w:val="22"/>
          <w:szCs w:val="22"/>
        </w:rPr>
      </w:pPr>
      <w:r w:rsidRPr="000965D3">
        <w:rPr>
          <w:rFonts w:ascii="Helvetica" w:hAnsi="Helvetica"/>
          <w:b/>
          <w:bCs/>
          <w:sz w:val="22"/>
          <w:szCs w:val="22"/>
        </w:rPr>
        <w:t>Gemeinsame Pressemitteilung der Stadt Pohlheim, der TNG Stadtnetz GmbH und der Breitband Gießen GmbH</w:t>
      </w:r>
    </w:p>
    <w:p w14:paraId="09A07D27" w14:textId="77777777" w:rsidR="00A84379" w:rsidRPr="000965D3" w:rsidRDefault="00A84379" w:rsidP="001118E9">
      <w:pPr>
        <w:spacing w:line="360" w:lineRule="auto"/>
        <w:rPr>
          <w:rStyle w:val="s1"/>
          <w:rFonts w:ascii="Helvetica" w:hAnsi="Helvetica" w:cs="Calibri"/>
          <w:b/>
          <w:bCs/>
          <w:color w:val="000000" w:themeColor="text1"/>
          <w:sz w:val="22"/>
          <w:szCs w:val="22"/>
        </w:rPr>
      </w:pPr>
    </w:p>
    <w:p w14:paraId="53D2B401" w14:textId="25166F71" w:rsidR="000965D3" w:rsidRPr="000965D3" w:rsidRDefault="000965D3" w:rsidP="000965D3">
      <w:pPr>
        <w:spacing w:line="360" w:lineRule="auto"/>
        <w:rPr>
          <w:rFonts w:ascii="Helvetica" w:hAnsi="Helvetica"/>
          <w:b/>
          <w:bCs/>
          <w:sz w:val="22"/>
          <w:szCs w:val="22"/>
        </w:rPr>
      </w:pPr>
      <w:r w:rsidRPr="000965D3">
        <w:rPr>
          <w:rFonts w:ascii="Helvetica" w:hAnsi="Helvetica"/>
          <w:b/>
          <w:bCs/>
          <w:sz w:val="22"/>
          <w:szCs w:val="22"/>
        </w:rPr>
        <w:t>Glasfaserausbau der TNG Stadtnetz GmbH in Pohlheim abgeschlossen</w:t>
      </w:r>
    </w:p>
    <w:p w14:paraId="2335D05B" w14:textId="70980F82" w:rsidR="000965D3" w:rsidRPr="000965D3" w:rsidRDefault="003559F8" w:rsidP="000965D3">
      <w:pPr>
        <w:spacing w:line="360" w:lineRule="auto"/>
        <w:rPr>
          <w:rFonts w:ascii="Helvetica" w:hAnsi="Helvetica"/>
          <w:sz w:val="22"/>
          <w:szCs w:val="22"/>
        </w:rPr>
      </w:pPr>
      <w:r w:rsidRPr="000965D3">
        <w:rPr>
          <w:rStyle w:val="s1"/>
          <w:rFonts w:ascii="Helvetica" w:hAnsi="Helvetica" w:cs="Calibri"/>
          <w:color w:val="000000" w:themeColor="text1"/>
          <w:sz w:val="22"/>
          <w:szCs w:val="22"/>
        </w:rPr>
        <w:br/>
      </w:r>
      <w:r w:rsidR="000965D3" w:rsidRPr="000965D3">
        <w:rPr>
          <w:rStyle w:val="s1"/>
          <w:rFonts w:ascii="Helvetica" w:hAnsi="Helvetica" w:cs="Calibri"/>
          <w:color w:val="000000" w:themeColor="text1"/>
          <w:sz w:val="22"/>
          <w:szCs w:val="22"/>
        </w:rPr>
        <w:t>28</w:t>
      </w:r>
      <w:r w:rsidR="00281EC5" w:rsidRPr="000965D3">
        <w:rPr>
          <w:rStyle w:val="s1"/>
          <w:rFonts w:ascii="Helvetica" w:hAnsi="Helvetica" w:cs="Calibri"/>
          <w:color w:val="000000" w:themeColor="text1"/>
          <w:sz w:val="22"/>
          <w:szCs w:val="22"/>
        </w:rPr>
        <w:t>.</w:t>
      </w:r>
      <w:r w:rsidR="000965D3" w:rsidRPr="000965D3">
        <w:rPr>
          <w:rStyle w:val="s1"/>
          <w:rFonts w:ascii="Helvetica" w:hAnsi="Helvetica" w:cs="Calibri"/>
          <w:color w:val="000000" w:themeColor="text1"/>
          <w:sz w:val="22"/>
          <w:szCs w:val="22"/>
        </w:rPr>
        <w:t>08</w:t>
      </w:r>
      <w:r w:rsidR="00CF35FC" w:rsidRPr="000965D3">
        <w:rPr>
          <w:rStyle w:val="s1"/>
          <w:rFonts w:ascii="Helvetica" w:hAnsi="Helvetica" w:cs="Calibri"/>
          <w:color w:val="000000" w:themeColor="text1"/>
          <w:sz w:val="22"/>
          <w:szCs w:val="22"/>
        </w:rPr>
        <w:t>.202</w:t>
      </w:r>
      <w:r w:rsidR="008E6DC7" w:rsidRPr="000965D3">
        <w:rPr>
          <w:rStyle w:val="s1"/>
          <w:rFonts w:ascii="Helvetica" w:hAnsi="Helvetica" w:cs="Calibri"/>
          <w:color w:val="000000" w:themeColor="text1"/>
          <w:sz w:val="22"/>
          <w:szCs w:val="22"/>
        </w:rPr>
        <w:t>6</w:t>
      </w:r>
      <w:r w:rsidR="00CF35FC" w:rsidRPr="000965D3">
        <w:rPr>
          <w:rStyle w:val="s1"/>
          <w:rFonts w:ascii="Helvetica" w:hAnsi="Helvetica" w:cs="Calibri"/>
          <w:color w:val="000000" w:themeColor="text1"/>
          <w:sz w:val="22"/>
          <w:szCs w:val="22"/>
        </w:rPr>
        <w:t xml:space="preserve"> </w:t>
      </w:r>
      <w:r w:rsidR="003870BE" w:rsidRPr="000965D3">
        <w:rPr>
          <w:rStyle w:val="s1"/>
          <w:rFonts w:ascii="Helvetica" w:hAnsi="Helvetica" w:cs="Calibri"/>
          <w:color w:val="000000" w:themeColor="text1"/>
          <w:sz w:val="22"/>
          <w:szCs w:val="22"/>
        </w:rPr>
        <w:t xml:space="preserve">– </w:t>
      </w:r>
      <w:r w:rsidR="000965D3" w:rsidRPr="000965D3">
        <w:rPr>
          <w:rFonts w:ascii="Helvetica" w:hAnsi="Helvetica"/>
          <w:sz w:val="22"/>
          <w:szCs w:val="22"/>
        </w:rPr>
        <w:t xml:space="preserve">Der initiale Glasfaserausbau der TNG Stadtnetz GmbH ist in den Pohlheimer Stadtteilen Garbenteich, Grüningen, Watzenborn-Steinberg und Hausen abgeschlossen. </w:t>
      </w:r>
    </w:p>
    <w:p w14:paraId="215B3DE3" w14:textId="77777777" w:rsidR="000965D3" w:rsidRPr="000965D3" w:rsidRDefault="000965D3" w:rsidP="000965D3">
      <w:pPr>
        <w:spacing w:line="360" w:lineRule="auto"/>
        <w:rPr>
          <w:rFonts w:ascii="Helvetica" w:hAnsi="Helvetica" w:cs="Calibri"/>
          <w:sz w:val="22"/>
          <w:szCs w:val="22"/>
        </w:rPr>
      </w:pPr>
    </w:p>
    <w:p w14:paraId="62870481" w14:textId="1497DF39" w:rsidR="000965D3" w:rsidRPr="000965D3" w:rsidRDefault="000965D3" w:rsidP="000965D3">
      <w:pPr>
        <w:spacing w:line="360" w:lineRule="auto"/>
        <w:rPr>
          <w:rFonts w:ascii="Helvetica" w:hAnsi="Helvetica"/>
          <w:sz w:val="22"/>
          <w:szCs w:val="22"/>
        </w:rPr>
      </w:pPr>
      <w:r w:rsidRPr="000965D3">
        <w:rPr>
          <w:rFonts w:ascii="Helvetica" w:hAnsi="Helvetica" w:cs="Calibri"/>
          <w:sz w:val="22"/>
          <w:szCs w:val="22"/>
        </w:rPr>
        <w:t>Bürgermeister Andreas Ruck zog mit Vertretern der TNG Stadtnetz GmbH sowie der Breitband Gießen GmbH und dem Landkreis Gießen bei einem Treffen am Hauptverteiler in Garbenteich eine Bilanz.</w:t>
      </w:r>
      <w:r w:rsidRPr="000965D3">
        <w:rPr>
          <w:rFonts w:ascii="Helvetica" w:hAnsi="Helvetica"/>
          <w:sz w:val="22"/>
          <w:szCs w:val="22"/>
        </w:rPr>
        <w:t xml:space="preserve"> „Ich bin froh, dass die Pohlheimer Stadtteile so umfangreich vom eigenwirtschaftlichen Glasfaserausbau durch die TNG profitieren. Glasfaser bringt für die Bürger, Unternehmen und öffentlichen Einrichtungen einen wichtigen Standortvorteil. Schnelles und stabiles Internet ist heute schon wichtig für den Alltag und die Arbeit. Vor allem aber ist es eine wichtige Voraussetzung für das Leben und Arbeiten in der Zukunft“, sagte Ruck.</w:t>
      </w:r>
    </w:p>
    <w:p w14:paraId="7E913A95" w14:textId="77777777" w:rsidR="000965D3" w:rsidRPr="000965D3" w:rsidRDefault="000965D3" w:rsidP="000965D3">
      <w:pPr>
        <w:spacing w:line="360" w:lineRule="auto"/>
        <w:rPr>
          <w:rFonts w:ascii="Helvetica" w:hAnsi="Helvetica"/>
          <w:sz w:val="22"/>
          <w:szCs w:val="22"/>
        </w:rPr>
      </w:pPr>
    </w:p>
    <w:p w14:paraId="70C4B3B5" w14:textId="77777777" w:rsidR="000965D3" w:rsidRPr="000965D3" w:rsidRDefault="000965D3" w:rsidP="000965D3">
      <w:pPr>
        <w:spacing w:line="360" w:lineRule="auto"/>
        <w:rPr>
          <w:rFonts w:ascii="Helvetica" w:hAnsi="Helvetica"/>
          <w:sz w:val="22"/>
          <w:szCs w:val="22"/>
        </w:rPr>
      </w:pPr>
      <w:r w:rsidRPr="000965D3">
        <w:rPr>
          <w:rFonts w:ascii="Helvetica" w:hAnsi="Helvetica"/>
          <w:sz w:val="22"/>
          <w:szCs w:val="22"/>
        </w:rPr>
        <w:t>Nach knapp zwei Jahren Bauzeit und rund 70 Kilometer Tiefbau blickte auch TNG-Regionalleiter Raphael Kupfermann zufrieden auf das Bauprojekt: „Der Glasfaserausbau in Pohlheim wurde von uns eigenwirtschaftlich realisiert, wodurch nun rund 7.500 Haushalte einen Glasfaseranschluss erhalten können. Der rege Zuspruch der Bürger freut uns sehr und ein Großteil der Haushalte hat sich schon für einen Anschluss an unser Netz entschieden. Zudem ist unser Netz so ausgelegt, dass zukünftig auch weitere Haushalte problemlos angeschlossen werden können.“</w:t>
      </w:r>
    </w:p>
    <w:p w14:paraId="14C96AD6" w14:textId="77777777" w:rsidR="000965D3" w:rsidRPr="000965D3" w:rsidRDefault="000965D3" w:rsidP="000965D3">
      <w:pPr>
        <w:spacing w:line="360" w:lineRule="auto"/>
        <w:rPr>
          <w:rFonts w:ascii="Helvetica" w:hAnsi="Helvetica"/>
          <w:sz w:val="22"/>
          <w:szCs w:val="22"/>
        </w:rPr>
      </w:pPr>
    </w:p>
    <w:p w14:paraId="452F27B5" w14:textId="77777777" w:rsidR="000965D3" w:rsidRPr="000965D3" w:rsidRDefault="000965D3" w:rsidP="000965D3">
      <w:pPr>
        <w:spacing w:line="360" w:lineRule="auto"/>
        <w:rPr>
          <w:rFonts w:ascii="Helvetica" w:hAnsi="Helvetica"/>
          <w:sz w:val="22"/>
          <w:szCs w:val="22"/>
        </w:rPr>
      </w:pPr>
      <w:r w:rsidRPr="000965D3">
        <w:rPr>
          <w:rFonts w:ascii="Helvetica" w:hAnsi="Helvetica"/>
          <w:sz w:val="22"/>
          <w:szCs w:val="22"/>
        </w:rPr>
        <w:t xml:space="preserve">Stefan Becker, Geschäftsführer der Breitband Gießen GmbH, hob die Geschwindigkeit des Projekts hervor: „Im Juni 2024 haben wir uns an dieser Stelle zum Spatenstich getroffen, im Mai 2025 wurden schon die ersten Kundenanschlüsse aktiviert und seit April 2026 sind alle Netze aktiv. Meiner Ansicht nach hat die enge Abstimmung zwischen den verantwortlichen Mitarbeitern der Stadt und den Bauleitern der TNG wesentlich zu der zügigen Umsetzung beigetragen.“ </w:t>
      </w:r>
    </w:p>
    <w:p w14:paraId="3C8C8F0A" w14:textId="77777777" w:rsidR="000965D3" w:rsidRPr="000965D3" w:rsidRDefault="000965D3" w:rsidP="000965D3">
      <w:pPr>
        <w:spacing w:line="360" w:lineRule="auto"/>
        <w:rPr>
          <w:rFonts w:ascii="Helvetica" w:hAnsi="Helvetica"/>
          <w:sz w:val="22"/>
          <w:szCs w:val="22"/>
        </w:rPr>
      </w:pPr>
    </w:p>
    <w:p w14:paraId="3D131575" w14:textId="77777777" w:rsidR="000965D3" w:rsidRPr="000965D3" w:rsidRDefault="000965D3" w:rsidP="000965D3">
      <w:pPr>
        <w:spacing w:line="360" w:lineRule="auto"/>
        <w:rPr>
          <w:rFonts w:ascii="Helvetica" w:hAnsi="Helvetica" w:cs="Calibri"/>
          <w:b/>
          <w:bCs/>
          <w:sz w:val="22"/>
          <w:szCs w:val="22"/>
        </w:rPr>
      </w:pPr>
      <w:r w:rsidRPr="000965D3">
        <w:rPr>
          <w:rFonts w:ascii="Helvetica" w:hAnsi="Helvetica" w:cs="Calibri"/>
          <w:b/>
          <w:bCs/>
          <w:sz w:val="22"/>
          <w:szCs w:val="22"/>
        </w:rPr>
        <w:t>Nach erster Bauphase folgt die Nachverdichtung</w:t>
      </w:r>
    </w:p>
    <w:p w14:paraId="202B0704" w14:textId="77777777" w:rsidR="000965D3" w:rsidRPr="000965D3" w:rsidRDefault="000965D3" w:rsidP="000965D3">
      <w:pPr>
        <w:spacing w:line="360" w:lineRule="auto"/>
        <w:rPr>
          <w:rFonts w:ascii="Helvetica" w:hAnsi="Helvetica"/>
          <w:sz w:val="22"/>
          <w:szCs w:val="22"/>
        </w:rPr>
      </w:pPr>
      <w:r w:rsidRPr="000965D3">
        <w:rPr>
          <w:rFonts w:ascii="Helvetica" w:hAnsi="Helvetica" w:cs="Calibri"/>
          <w:sz w:val="22"/>
          <w:szCs w:val="22"/>
        </w:rPr>
        <w:t xml:space="preserve">Der Glasfaserausbau erfolge in zwei Schritten, erläuterte TNG-Vertriebsleiter Kilian Ortwein. </w:t>
      </w:r>
      <w:r w:rsidRPr="000965D3">
        <w:rPr>
          <w:rFonts w:ascii="Helvetica" w:hAnsi="Helvetica"/>
          <w:sz w:val="22"/>
          <w:szCs w:val="22"/>
        </w:rPr>
        <w:t xml:space="preserve">„Beim Initialausbau in der ersten Bauphase erschließen wir ein ganzes Gebiet auf einmal. Alle Häuser, deren Bewohner zu diesem Zeitpunkt einen Vertrag mit uns haben, werden innerhalb einer </w:t>
      </w:r>
      <w:r w:rsidRPr="000965D3">
        <w:rPr>
          <w:rFonts w:ascii="Helvetica" w:hAnsi="Helvetica"/>
          <w:sz w:val="22"/>
          <w:szCs w:val="22"/>
        </w:rPr>
        <w:lastRenderedPageBreak/>
        <w:t xml:space="preserve">festen Bauphase angeschlossen. Sobald die erste Bauphase abgeschlossen ist, beginnt die Nachverdichtung. Dann schließen wir einzelne Haushalte nachträglich an, die zum Zeitpunkt des Initialausbaus noch keinen Glasfaservertrag hatten.“ </w:t>
      </w:r>
    </w:p>
    <w:p w14:paraId="11CDEBE2" w14:textId="77777777" w:rsidR="000965D3" w:rsidRPr="000965D3" w:rsidRDefault="000965D3" w:rsidP="000965D3">
      <w:pPr>
        <w:spacing w:line="360" w:lineRule="auto"/>
        <w:rPr>
          <w:rFonts w:ascii="Helvetica" w:hAnsi="Helvetica"/>
          <w:sz w:val="22"/>
          <w:szCs w:val="22"/>
        </w:rPr>
      </w:pPr>
    </w:p>
    <w:p w14:paraId="2DB8F24E" w14:textId="77777777" w:rsidR="000965D3" w:rsidRDefault="000965D3" w:rsidP="000965D3">
      <w:pPr>
        <w:spacing w:line="360" w:lineRule="auto"/>
        <w:rPr>
          <w:rFonts w:ascii="Helvetica" w:hAnsi="Helvetica"/>
          <w:sz w:val="22"/>
          <w:szCs w:val="22"/>
        </w:rPr>
      </w:pPr>
      <w:r w:rsidRPr="000965D3">
        <w:rPr>
          <w:rFonts w:ascii="Helvetica" w:hAnsi="Helvetica"/>
          <w:sz w:val="22"/>
          <w:szCs w:val="22"/>
        </w:rPr>
        <w:t>Glasfaserverträge können jederzeit bei TNG abgeschlossen werden. Bis auf Weiteres erfolgt der Bau des Hausanschlusses kostenfrei. Weitere Informationen rund um die TNG-Tarife und die Glasfasertechnologie sind unter tng.de/</w:t>
      </w:r>
      <w:proofErr w:type="spellStart"/>
      <w:r w:rsidRPr="000965D3">
        <w:rPr>
          <w:rFonts w:ascii="Helvetica" w:hAnsi="Helvetica"/>
          <w:sz w:val="22"/>
          <w:szCs w:val="22"/>
        </w:rPr>
        <w:t>pohlheim</w:t>
      </w:r>
      <w:proofErr w:type="spellEnd"/>
      <w:r w:rsidRPr="000965D3">
        <w:rPr>
          <w:rFonts w:ascii="Helvetica" w:hAnsi="Helvetica"/>
          <w:sz w:val="22"/>
          <w:szCs w:val="22"/>
        </w:rPr>
        <w:t xml:space="preserve"> zu finden. </w:t>
      </w:r>
    </w:p>
    <w:p w14:paraId="041D0317" w14:textId="77777777" w:rsidR="00F3195F" w:rsidRDefault="00F3195F" w:rsidP="000965D3">
      <w:pPr>
        <w:spacing w:line="360" w:lineRule="auto"/>
        <w:rPr>
          <w:rFonts w:ascii="Helvetica" w:hAnsi="Helvetica"/>
          <w:sz w:val="22"/>
          <w:szCs w:val="22"/>
        </w:rPr>
      </w:pPr>
    </w:p>
    <w:p w14:paraId="02CB51AA" w14:textId="5339BD5D" w:rsidR="001118E9" w:rsidRPr="00F3195F" w:rsidRDefault="00F3195F" w:rsidP="00101083">
      <w:pPr>
        <w:spacing w:line="360" w:lineRule="auto"/>
        <w:rPr>
          <w:rFonts w:ascii="Helvetica" w:hAnsi="Helvetica"/>
          <w:sz w:val="22"/>
          <w:szCs w:val="22"/>
        </w:rPr>
      </w:pPr>
      <w:r w:rsidRPr="00F3195F">
        <w:rPr>
          <w:rFonts w:ascii="Helvetica" w:hAnsi="Helvetica"/>
          <w:sz w:val="22"/>
          <w:szCs w:val="22"/>
        </w:rPr>
        <w:t xml:space="preserve">Foto (v. l. n. r.): </w:t>
      </w:r>
      <w:r w:rsidRPr="00F3195F">
        <w:rPr>
          <w:rStyle w:val="normaltextrun"/>
          <w:rFonts w:ascii="Helvetica" w:hAnsi="Helvetica" w:cs="Arial"/>
          <w:color w:val="000000"/>
          <w:sz w:val="22"/>
          <w:szCs w:val="22"/>
          <w:shd w:val="clear" w:color="auto" w:fill="FFFFFF"/>
        </w:rPr>
        <w:t xml:space="preserve">Kilian Ortwein (TNG-Vertriebsleiter), Stefan Becker (Breitband Gießen GmbH), Andreas Ruck (Bürgermeister Pohlheim), Raphael Kupfermann (TNG-Regionalleiter), Ramona Rühl (Breitband Gießen GmbH) und Roland </w:t>
      </w:r>
      <w:proofErr w:type="spellStart"/>
      <w:r w:rsidRPr="00F3195F">
        <w:rPr>
          <w:rStyle w:val="normaltextrun"/>
          <w:rFonts w:ascii="Helvetica" w:hAnsi="Helvetica" w:cs="Arial"/>
          <w:color w:val="000000"/>
          <w:sz w:val="22"/>
          <w:szCs w:val="22"/>
          <w:shd w:val="clear" w:color="auto" w:fill="FFFFFF"/>
        </w:rPr>
        <w:t>Schnarr</w:t>
      </w:r>
      <w:proofErr w:type="spellEnd"/>
      <w:r w:rsidRPr="00F3195F">
        <w:rPr>
          <w:rStyle w:val="normaltextrun"/>
          <w:rFonts w:ascii="Helvetica" w:hAnsi="Helvetica" w:cs="Arial"/>
          <w:color w:val="000000"/>
          <w:sz w:val="22"/>
          <w:szCs w:val="22"/>
          <w:shd w:val="clear" w:color="auto" w:fill="FFFFFF"/>
        </w:rPr>
        <w:t xml:space="preserve"> (TNG-Bauleiter)</w:t>
      </w:r>
      <w:r w:rsidRPr="00F3195F">
        <w:rPr>
          <w:rStyle w:val="scxw143831672"/>
          <w:rFonts w:ascii="Helvetica" w:hAnsi="Helvetica" w:cs="Arial"/>
          <w:color w:val="000000"/>
          <w:sz w:val="22"/>
          <w:szCs w:val="22"/>
          <w:shd w:val="clear" w:color="auto" w:fill="FFFFFF"/>
        </w:rPr>
        <w:t> </w:t>
      </w:r>
      <w:r w:rsidRPr="00F3195F">
        <w:rPr>
          <w:rFonts w:ascii="Helvetica" w:hAnsi="Helvetica" w:cs="Arial"/>
          <w:color w:val="000000"/>
          <w:sz w:val="22"/>
          <w:szCs w:val="22"/>
          <w:shd w:val="clear" w:color="auto" w:fill="FFFFFF"/>
        </w:rPr>
        <w:br/>
      </w:r>
    </w:p>
    <w:p w14:paraId="7A731BE0" w14:textId="5903528A" w:rsidR="00717272" w:rsidRPr="000965D3" w:rsidRDefault="007E29B6" w:rsidP="001118E9">
      <w:pPr>
        <w:spacing w:after="480" w:line="360" w:lineRule="auto"/>
        <w:rPr>
          <w:rFonts w:ascii="Helvetica" w:hAnsi="Helvetica" w:cs="Calibri"/>
          <w:b/>
          <w:bCs/>
          <w:color w:val="000000" w:themeColor="text1"/>
          <w:sz w:val="22"/>
          <w:szCs w:val="22"/>
        </w:rPr>
      </w:pPr>
      <w:r w:rsidRPr="000965D3">
        <w:rPr>
          <w:rStyle w:val="s1"/>
          <w:rFonts w:ascii="Helvetica" w:hAnsi="Helvetica" w:cs="Calibri"/>
          <w:b/>
          <w:bCs/>
          <w:color w:val="000000" w:themeColor="text1"/>
          <w:sz w:val="22"/>
          <w:szCs w:val="22"/>
        </w:rPr>
        <w:br/>
      </w:r>
      <w:r w:rsidR="00DB4C2C" w:rsidRPr="000965D3">
        <w:rPr>
          <w:rStyle w:val="s1"/>
          <w:rFonts w:ascii="Helvetica" w:hAnsi="Helvetica" w:cs="Calibri"/>
          <w:b/>
          <w:bCs/>
          <w:color w:val="000000" w:themeColor="text1"/>
          <w:sz w:val="22"/>
          <w:szCs w:val="22"/>
        </w:rPr>
        <w:t>Informationen zur TNG Stadtnetz Gm</w:t>
      </w:r>
      <w:r w:rsidRPr="000965D3">
        <w:rPr>
          <w:rStyle w:val="s1"/>
          <w:rFonts w:ascii="Helvetica" w:hAnsi="Helvetica" w:cs="Calibri"/>
          <w:b/>
          <w:bCs/>
          <w:color w:val="000000" w:themeColor="text1"/>
          <w:sz w:val="22"/>
          <w:szCs w:val="22"/>
        </w:rPr>
        <w:t>b</w:t>
      </w:r>
      <w:r w:rsidR="006B19A0" w:rsidRPr="000965D3">
        <w:rPr>
          <w:rStyle w:val="s1"/>
          <w:rFonts w:ascii="Helvetica" w:hAnsi="Helvetica" w:cs="Calibri"/>
          <w:b/>
          <w:bCs/>
          <w:color w:val="000000" w:themeColor="text1"/>
          <w:sz w:val="22"/>
          <w:szCs w:val="22"/>
        </w:rPr>
        <w:t>H</w:t>
      </w:r>
      <w:r w:rsidR="006B19A0" w:rsidRPr="000965D3">
        <w:rPr>
          <w:rStyle w:val="s1"/>
          <w:rFonts w:ascii="Helvetica" w:hAnsi="Helvetica" w:cs="Calibri"/>
          <w:b/>
          <w:bCs/>
          <w:color w:val="000000" w:themeColor="text1"/>
          <w:sz w:val="22"/>
          <w:szCs w:val="22"/>
        </w:rPr>
        <w:br/>
      </w:r>
      <w:r w:rsidR="00717272" w:rsidRPr="000965D3">
        <w:rPr>
          <w:rFonts w:ascii="Helvetica" w:hAnsi="Helvetica" w:cs="Calibri"/>
          <w:color w:val="000000" w:themeColor="text1"/>
          <w:sz w:val="22"/>
          <w:szCs w:val="22"/>
        </w:rPr>
        <w:t>TNG wurde 1997 in Kiel gegründet und hat sich von einem regionalen Anbieter zu einem der führenden Telekommunikationsanbieter Deutschlands entwickelt. Kernkompetenz des Unternehmens ist der Ausbau echter FTTH-Netze – also 100 % Glasfaser bis in jede Wohneinheit, ohne Kompromisse bei der letzten Meile. Zudem drosselt TNG die Geschwindigkeit nicht: Alle Tarife bieten mit 1.000 Mbit/s im Download die volle Leistung des Glasfasernetzes.</w:t>
      </w:r>
    </w:p>
    <w:p w14:paraId="2D01489A" w14:textId="77777777" w:rsidR="00717272" w:rsidRPr="000965D3" w:rsidRDefault="00717272" w:rsidP="001118E9">
      <w:pPr>
        <w:pStyle w:val="font-claude-response-body"/>
        <w:spacing w:before="150" w:beforeAutospacing="0" w:after="0" w:afterAutospacing="0" w:line="360" w:lineRule="auto"/>
        <w:rPr>
          <w:rFonts w:ascii="Helvetica" w:hAnsi="Helvetica" w:cs="Calibri"/>
          <w:color w:val="000000" w:themeColor="text1"/>
          <w:sz w:val="22"/>
          <w:szCs w:val="22"/>
        </w:rPr>
      </w:pPr>
      <w:r w:rsidRPr="000965D3">
        <w:rPr>
          <w:rFonts w:ascii="Helvetica" w:hAnsi="Helvetica" w:cs="Calibri"/>
          <w:color w:val="000000" w:themeColor="text1"/>
          <w:sz w:val="22"/>
          <w:szCs w:val="22"/>
        </w:rPr>
        <w:t xml:space="preserve">Seit dem Einstieg in den Glasfaserausbau 2013 treibt TNG den Ausbau systematisch in Nord-, Mittel- und Süddeutschland voran. Als vertikal integrierter Anbieter übernimmt TNG jeden Schritt aus eigener Hand: von der Netzplanung über den Ausbau bis zum Betrieb und der Vermarktung. Dieses Modell schafft direkte Verantwortung für Qualität und Verlässlichkeit gegenüber Kommunen, Wohnungswirtschaft und </w:t>
      </w:r>
      <w:proofErr w:type="spellStart"/>
      <w:proofErr w:type="gramStart"/>
      <w:r w:rsidRPr="000965D3">
        <w:rPr>
          <w:rFonts w:ascii="Helvetica" w:hAnsi="Helvetica" w:cs="Calibri"/>
          <w:color w:val="000000" w:themeColor="text1"/>
          <w:sz w:val="22"/>
          <w:szCs w:val="22"/>
        </w:rPr>
        <w:t>Endkund:innen</w:t>
      </w:r>
      <w:proofErr w:type="spellEnd"/>
      <w:proofErr w:type="gramEnd"/>
      <w:r w:rsidRPr="000965D3">
        <w:rPr>
          <w:rFonts w:ascii="Helvetica" w:hAnsi="Helvetica" w:cs="Calibri"/>
          <w:color w:val="000000" w:themeColor="text1"/>
          <w:sz w:val="22"/>
          <w:szCs w:val="22"/>
        </w:rPr>
        <w:t xml:space="preserve"> gleichermaßen. Neben Glasfaserinternet umfasst das Portfolio auch Mobilfunk, TV sowie Festnetz- und VDSL-Angebote.</w:t>
      </w:r>
    </w:p>
    <w:p w14:paraId="254B08E6" w14:textId="77777777" w:rsidR="00717272" w:rsidRPr="000965D3" w:rsidRDefault="00717272" w:rsidP="001118E9">
      <w:pPr>
        <w:pStyle w:val="font-claude-response-body"/>
        <w:spacing w:before="150" w:beforeAutospacing="0" w:after="0" w:afterAutospacing="0" w:line="360" w:lineRule="auto"/>
        <w:rPr>
          <w:rFonts w:ascii="Helvetica" w:hAnsi="Helvetica" w:cs="Calibri"/>
          <w:color w:val="000000" w:themeColor="text1"/>
          <w:sz w:val="22"/>
          <w:szCs w:val="22"/>
        </w:rPr>
      </w:pPr>
      <w:r w:rsidRPr="000965D3">
        <w:rPr>
          <w:rFonts w:ascii="Helvetica" w:hAnsi="Helvetica" w:cs="Calibri"/>
          <w:color w:val="000000" w:themeColor="text1"/>
          <w:sz w:val="22"/>
          <w:szCs w:val="22"/>
        </w:rPr>
        <w:t xml:space="preserve">Mehr als 330 </w:t>
      </w:r>
      <w:proofErr w:type="gramStart"/>
      <w:r w:rsidRPr="000965D3">
        <w:rPr>
          <w:rFonts w:ascii="Helvetica" w:hAnsi="Helvetica" w:cs="Calibri"/>
          <w:color w:val="000000" w:themeColor="text1"/>
          <w:sz w:val="22"/>
          <w:szCs w:val="22"/>
        </w:rPr>
        <w:t>Mitarbeiter:innen</w:t>
      </w:r>
      <w:proofErr w:type="gramEnd"/>
      <w:r w:rsidRPr="000965D3">
        <w:rPr>
          <w:rFonts w:ascii="Helvetica" w:hAnsi="Helvetica" w:cs="Calibri"/>
          <w:color w:val="000000" w:themeColor="text1"/>
          <w:sz w:val="22"/>
          <w:szCs w:val="22"/>
        </w:rPr>
        <w:t xml:space="preserve"> an vier Standorten in Kiel und Felde (Schleswig-Holstein), Breitenbach am Herzberg (Hessen) und Aalen (Baden-Württemberg) arbeiten täglich daran, leistungsfähige Netzinfrastruktur dorthin zu bringen, wo sie gebraucht wird.</w:t>
      </w:r>
    </w:p>
    <w:p w14:paraId="4AA127EF" w14:textId="77777777" w:rsidR="00717272" w:rsidRPr="000965D3" w:rsidRDefault="00717272" w:rsidP="001118E9">
      <w:pPr>
        <w:pStyle w:val="font-claude-response-body"/>
        <w:spacing w:before="150" w:beforeAutospacing="0" w:after="0" w:afterAutospacing="0" w:line="360" w:lineRule="auto"/>
        <w:rPr>
          <w:rFonts w:ascii="Helvetica" w:hAnsi="Helvetica" w:cs="Calibri"/>
          <w:color w:val="000000" w:themeColor="text1"/>
          <w:sz w:val="22"/>
          <w:szCs w:val="22"/>
        </w:rPr>
      </w:pPr>
      <w:r w:rsidRPr="000965D3">
        <w:rPr>
          <w:rFonts w:ascii="Helvetica" w:hAnsi="Helvetica" w:cs="Calibri"/>
          <w:color w:val="000000" w:themeColor="text1"/>
          <w:sz w:val="22"/>
          <w:szCs w:val="22"/>
        </w:rPr>
        <w:t xml:space="preserve">TNG ist Teil der TNG-Gruppe mit der TNG Glasfaser GmbH als Konzernmutter. Zur Gruppe gehört auch die </w:t>
      </w:r>
      <w:proofErr w:type="spellStart"/>
      <w:r w:rsidRPr="000965D3">
        <w:rPr>
          <w:rFonts w:ascii="Helvetica" w:hAnsi="Helvetica" w:cs="Calibri"/>
          <w:color w:val="000000" w:themeColor="text1"/>
          <w:sz w:val="22"/>
          <w:szCs w:val="22"/>
        </w:rPr>
        <w:t>ennit</w:t>
      </w:r>
      <w:proofErr w:type="spellEnd"/>
      <w:r w:rsidRPr="000965D3">
        <w:rPr>
          <w:rFonts w:ascii="Helvetica" w:hAnsi="Helvetica" w:cs="Calibri"/>
          <w:color w:val="000000" w:themeColor="text1"/>
          <w:sz w:val="22"/>
          <w:szCs w:val="22"/>
        </w:rPr>
        <w:t xml:space="preserve"> GmbH, die IT- und </w:t>
      </w:r>
      <w:proofErr w:type="spellStart"/>
      <w:r w:rsidRPr="000965D3">
        <w:rPr>
          <w:rFonts w:ascii="Helvetica" w:hAnsi="Helvetica" w:cs="Calibri"/>
          <w:color w:val="000000" w:themeColor="text1"/>
          <w:sz w:val="22"/>
          <w:szCs w:val="22"/>
        </w:rPr>
        <w:t>Konnektivitätslösungen</w:t>
      </w:r>
      <w:proofErr w:type="spellEnd"/>
      <w:r w:rsidRPr="000965D3">
        <w:rPr>
          <w:rFonts w:ascii="Helvetica" w:hAnsi="Helvetica" w:cs="Calibri"/>
          <w:color w:val="000000" w:themeColor="text1"/>
          <w:sz w:val="22"/>
          <w:szCs w:val="22"/>
        </w:rPr>
        <w:t xml:space="preserve"> für den Businessbereich anbietet.</w:t>
      </w:r>
    </w:p>
    <w:p w14:paraId="2385E780" w14:textId="77777777" w:rsidR="00717272" w:rsidRPr="000965D3" w:rsidRDefault="00717272" w:rsidP="001118E9">
      <w:pPr>
        <w:pStyle w:val="font-claude-response-body"/>
        <w:spacing w:before="150" w:beforeAutospacing="0" w:after="0" w:afterAutospacing="0" w:line="360" w:lineRule="auto"/>
        <w:rPr>
          <w:rFonts w:ascii="Helvetica" w:hAnsi="Helvetica" w:cs="Calibri"/>
          <w:color w:val="000000" w:themeColor="text1"/>
          <w:sz w:val="22"/>
          <w:szCs w:val="22"/>
        </w:rPr>
      </w:pPr>
    </w:p>
    <w:p w14:paraId="7698B292" w14:textId="630ECDA6" w:rsidR="009822BF" w:rsidRPr="000965D3" w:rsidRDefault="009822BF" w:rsidP="001118E9">
      <w:pPr>
        <w:pStyle w:val="paragraph"/>
        <w:spacing w:before="0" w:beforeAutospacing="0" w:after="0" w:afterAutospacing="0" w:line="360" w:lineRule="auto"/>
        <w:textAlignment w:val="baseline"/>
        <w:rPr>
          <w:rFonts w:ascii="Helvetica" w:hAnsi="Helvetica" w:cs="Calibri"/>
          <w:color w:val="000000" w:themeColor="text1"/>
          <w:sz w:val="22"/>
          <w:szCs w:val="22"/>
        </w:rPr>
      </w:pPr>
    </w:p>
    <w:p w14:paraId="154DB0BB" w14:textId="77777777" w:rsidR="00DB4C2C" w:rsidRPr="000965D3" w:rsidRDefault="00DB4C2C" w:rsidP="001118E9">
      <w:pPr>
        <w:pStyle w:val="Text"/>
        <w:jc w:val="both"/>
        <w:outlineLvl w:val="0"/>
        <w:rPr>
          <w:rFonts w:cs="Calibri"/>
          <w:b/>
          <w:bCs/>
          <w:color w:val="000000" w:themeColor="text1"/>
        </w:rPr>
      </w:pPr>
      <w:r w:rsidRPr="000965D3">
        <w:rPr>
          <w:rFonts w:cs="Calibri"/>
          <w:b/>
          <w:bCs/>
          <w:color w:val="000000" w:themeColor="text1"/>
        </w:rPr>
        <w:t>TNG Stadtnetz GmbH</w:t>
      </w:r>
      <w:r w:rsidRPr="000965D3">
        <w:rPr>
          <w:rFonts w:cs="Calibri"/>
          <w:b/>
          <w:bCs/>
          <w:color w:val="000000" w:themeColor="text1"/>
        </w:rPr>
        <w:tab/>
      </w:r>
      <w:r w:rsidRPr="000965D3">
        <w:rPr>
          <w:rFonts w:cs="Calibri"/>
          <w:b/>
          <w:bCs/>
          <w:color w:val="000000" w:themeColor="text1"/>
        </w:rPr>
        <w:tab/>
      </w:r>
      <w:r w:rsidRPr="000965D3">
        <w:rPr>
          <w:rFonts w:cs="Calibri"/>
          <w:b/>
          <w:bCs/>
          <w:color w:val="000000" w:themeColor="text1"/>
        </w:rPr>
        <w:tab/>
      </w:r>
      <w:r w:rsidRPr="000965D3">
        <w:rPr>
          <w:rFonts w:cs="Calibri"/>
          <w:b/>
          <w:bCs/>
          <w:color w:val="000000" w:themeColor="text1"/>
        </w:rPr>
        <w:tab/>
        <w:t>Pressekontakt:</w:t>
      </w:r>
    </w:p>
    <w:p w14:paraId="6081BE63" w14:textId="77777777" w:rsidR="00DB4C2C" w:rsidRPr="000965D3" w:rsidRDefault="00DB4C2C" w:rsidP="001118E9">
      <w:pPr>
        <w:pStyle w:val="Text"/>
        <w:ind w:right="0"/>
        <w:jc w:val="both"/>
        <w:outlineLvl w:val="0"/>
        <w:rPr>
          <w:rFonts w:cs="Calibri"/>
          <w:color w:val="000000" w:themeColor="text1"/>
          <w:lang w:val="en-US"/>
        </w:rPr>
      </w:pPr>
      <w:r w:rsidRPr="000965D3">
        <w:rPr>
          <w:rFonts w:cs="Calibri"/>
          <w:color w:val="000000" w:themeColor="text1"/>
        </w:rPr>
        <w:t xml:space="preserve">Gerhard-Fröhler-Str. </w:t>
      </w:r>
      <w:r w:rsidRPr="000965D3">
        <w:rPr>
          <w:rFonts w:cs="Calibri"/>
          <w:color w:val="000000" w:themeColor="text1"/>
          <w:lang w:val="en-US"/>
        </w:rPr>
        <w:t>12</w:t>
      </w:r>
      <w:r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t xml:space="preserve">Bettina </w:t>
      </w:r>
      <w:proofErr w:type="spellStart"/>
      <w:r w:rsidRPr="000965D3">
        <w:rPr>
          <w:rFonts w:cs="Calibri"/>
          <w:color w:val="000000" w:themeColor="text1"/>
          <w:lang w:val="en-US"/>
        </w:rPr>
        <w:t>Büll</w:t>
      </w:r>
      <w:proofErr w:type="spellEnd"/>
      <w:r w:rsidRPr="000965D3">
        <w:rPr>
          <w:rFonts w:cs="Calibri"/>
          <w:color w:val="000000" w:themeColor="text1"/>
          <w:lang w:val="en-US"/>
        </w:rPr>
        <w:t>, Marketing</w:t>
      </w:r>
    </w:p>
    <w:p w14:paraId="79C7E901" w14:textId="57AB3C89" w:rsidR="00DB4C2C" w:rsidRPr="000965D3" w:rsidRDefault="00DB4C2C" w:rsidP="001118E9">
      <w:pPr>
        <w:pStyle w:val="Text"/>
        <w:jc w:val="both"/>
        <w:outlineLvl w:val="0"/>
        <w:rPr>
          <w:rFonts w:cs="Calibri"/>
          <w:color w:val="000000" w:themeColor="text1"/>
          <w:lang w:val="en-US"/>
        </w:rPr>
      </w:pPr>
      <w:r w:rsidRPr="000965D3">
        <w:rPr>
          <w:rFonts w:cs="Calibri"/>
          <w:color w:val="000000" w:themeColor="text1"/>
          <w:lang w:val="en-US"/>
        </w:rPr>
        <w:t>24106 Kiel</w:t>
      </w:r>
      <w:r w:rsidR="001E4C54"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r>
      <w:r w:rsidRPr="000965D3">
        <w:rPr>
          <w:rFonts w:cs="Calibri"/>
          <w:color w:val="000000" w:themeColor="text1"/>
          <w:lang w:val="en-US"/>
        </w:rPr>
        <w:tab/>
      </w:r>
      <w:r w:rsidRPr="00F3195F">
        <w:rPr>
          <w:rFonts w:cs="Calibri"/>
          <w:lang w:val="en-US"/>
        </w:rPr>
        <w:t>presse@tng.de</w:t>
      </w:r>
    </w:p>
    <w:sectPr w:rsidR="00DB4C2C" w:rsidRPr="000965D3" w:rsidSect="00D304C2">
      <w:headerReference w:type="default" r:id="rId7"/>
      <w:pgSz w:w="11906" w:h="16838"/>
      <w:pgMar w:top="1134" w:right="991"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990C" w14:textId="77777777" w:rsidR="002511A3" w:rsidRDefault="002511A3">
      <w:r>
        <w:separator/>
      </w:r>
    </w:p>
  </w:endnote>
  <w:endnote w:type="continuationSeparator" w:id="0">
    <w:p w14:paraId="3D0829A7" w14:textId="77777777" w:rsidR="002511A3" w:rsidRDefault="0025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F826" w14:textId="77777777" w:rsidR="002511A3" w:rsidRDefault="002511A3">
      <w:r>
        <w:separator/>
      </w:r>
    </w:p>
  </w:footnote>
  <w:footnote w:type="continuationSeparator" w:id="0">
    <w:p w14:paraId="2409AAC3" w14:textId="77777777" w:rsidR="002511A3" w:rsidRDefault="00251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E6B3" w14:textId="77777777" w:rsidR="00133BBF" w:rsidRDefault="000719E2" w:rsidP="00E53F4F">
    <w:pPr>
      <w:pStyle w:val="Kopf-undFuzeilen"/>
      <w:tabs>
        <w:tab w:val="clear" w:pos="9020"/>
        <w:tab w:val="center" w:pos="4819"/>
        <w:tab w:val="right" w:pos="9638"/>
      </w:tabs>
      <w:jc w:val="center"/>
    </w:pPr>
    <w:r>
      <w:rPr>
        <w:noProof/>
        <w:lang w:eastAsia="de-DE"/>
      </w:rPr>
      <w:drawing>
        <wp:anchor distT="0" distB="0" distL="114300" distR="114300" simplePos="0" relativeHeight="251659264" behindDoc="1" locked="0" layoutInCell="1" allowOverlap="1" wp14:anchorId="34C3CA37" wp14:editId="5631788B">
          <wp:simplePos x="0" y="0"/>
          <wp:positionH relativeFrom="column">
            <wp:posOffset>4351020</wp:posOffset>
          </wp:positionH>
          <wp:positionV relativeFrom="paragraph">
            <wp:posOffset>95250</wp:posOffset>
          </wp:positionV>
          <wp:extent cx="1763395" cy="395605"/>
          <wp:effectExtent l="0" t="0" r="8255" b="4445"/>
          <wp:wrapTight wrapText="bothSides">
            <wp:wrapPolygon edited="0">
              <wp:start x="0" y="0"/>
              <wp:lineTo x="0" y="20803"/>
              <wp:lineTo x="21468" y="20803"/>
              <wp:lineTo x="21468" y="0"/>
              <wp:lineTo x="0" y="0"/>
            </wp:wrapPolygon>
          </wp:wrapTight>
          <wp:docPr id="1" name="officeArt object" descr="Ein Bild, das ClipAr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6" name="pasted-image.tif"/>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3395" cy="39560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2E124B80" w14:textId="77777777" w:rsidR="00133BBF" w:rsidRDefault="00133BBF" w:rsidP="00276388">
    <w:pPr>
      <w:pStyle w:val="Kopf-undFuzeilen"/>
      <w:tabs>
        <w:tab w:val="clear" w:pos="9020"/>
        <w:tab w:val="center" w:pos="4819"/>
        <w:tab w:val="right" w:pos="9638"/>
      </w:tabs>
      <w:jc w:val="right"/>
    </w:pPr>
  </w:p>
  <w:p w14:paraId="0EE74B9D" w14:textId="77777777" w:rsidR="00133BBF" w:rsidRDefault="00133BBF" w:rsidP="00E53F4F">
    <w:pPr>
      <w:pStyle w:val="Kopf-undFuzeilen"/>
      <w:tabs>
        <w:tab w:val="clear" w:pos="9020"/>
        <w:tab w:val="center" w:pos="4819"/>
        <w:tab w:val="left" w:pos="8280"/>
        <w:tab w:val="right" w:pos="9638"/>
      </w:tabs>
    </w:pPr>
  </w:p>
  <w:p w14:paraId="5A4C7EE8" w14:textId="77777777" w:rsidR="00133BBF" w:rsidRDefault="00133BBF" w:rsidP="00276388">
    <w:pPr>
      <w:pStyle w:val="Kopf-undFuzeilen"/>
      <w:tabs>
        <w:tab w:val="clear" w:pos="9020"/>
        <w:tab w:val="center" w:pos="4819"/>
        <w:tab w:val="left" w:pos="8280"/>
        <w:tab w:val="right" w:pos="9638"/>
      </w:tabs>
      <w:jc w:val="right"/>
    </w:pPr>
  </w:p>
  <w:p w14:paraId="43AD5EF3" w14:textId="77777777" w:rsidR="00133BBF" w:rsidRDefault="00133BBF" w:rsidP="00276388">
    <w:pPr>
      <w:pStyle w:val="Kopf-undFuzeilen"/>
      <w:tabs>
        <w:tab w:val="clear" w:pos="9020"/>
        <w:tab w:val="center" w:pos="4819"/>
        <w:tab w:val="left" w:pos="8280"/>
        <w:tab w:val="right" w:pos="9638"/>
      </w:tabs>
      <w:jc w:val="right"/>
    </w:pPr>
  </w:p>
  <w:p w14:paraId="6D2073DB" w14:textId="77777777" w:rsidR="00133BBF" w:rsidRDefault="00133BBF" w:rsidP="00276388">
    <w:pPr>
      <w:pStyle w:val="Kopf-undFuzeilen"/>
      <w:tabs>
        <w:tab w:val="clear" w:pos="9020"/>
        <w:tab w:val="center" w:pos="4819"/>
        <w:tab w:val="right" w:pos="963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E2908"/>
    <w:multiLevelType w:val="hybridMultilevel"/>
    <w:tmpl w:val="DD7A40F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3AE7132"/>
    <w:multiLevelType w:val="hybridMultilevel"/>
    <w:tmpl w:val="B944FAAC"/>
    <w:lvl w:ilvl="0" w:tplc="A04628CE">
      <w:numFmt w:val="bullet"/>
      <w:lvlText w:val="-"/>
      <w:lvlJc w:val="left"/>
      <w:pPr>
        <w:ind w:left="720" w:hanging="360"/>
      </w:pPr>
      <w:rPr>
        <w:rFonts w:ascii="Helvetica" w:eastAsia="Times New Roman" w:hAnsi="Helvetica"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0772757">
    <w:abstractNumId w:val="1"/>
  </w:num>
  <w:num w:numId="2" w16cid:durableId="120953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C2C"/>
    <w:rsid w:val="00001FF1"/>
    <w:rsid w:val="00022DB9"/>
    <w:rsid w:val="00036A4C"/>
    <w:rsid w:val="00037070"/>
    <w:rsid w:val="000375BA"/>
    <w:rsid w:val="00043035"/>
    <w:rsid w:val="00060DD0"/>
    <w:rsid w:val="0007197F"/>
    <w:rsid w:val="000719E2"/>
    <w:rsid w:val="000749B2"/>
    <w:rsid w:val="00075DE9"/>
    <w:rsid w:val="00076204"/>
    <w:rsid w:val="00080945"/>
    <w:rsid w:val="000930AB"/>
    <w:rsid w:val="00094B3D"/>
    <w:rsid w:val="00096195"/>
    <w:rsid w:val="000965D3"/>
    <w:rsid w:val="000A6C46"/>
    <w:rsid w:val="000B6039"/>
    <w:rsid w:val="000E060A"/>
    <w:rsid w:val="000E37E5"/>
    <w:rsid w:val="000F3183"/>
    <w:rsid w:val="000F7112"/>
    <w:rsid w:val="000F7350"/>
    <w:rsid w:val="0010020A"/>
    <w:rsid w:val="00101083"/>
    <w:rsid w:val="0010202F"/>
    <w:rsid w:val="001118E9"/>
    <w:rsid w:val="00133382"/>
    <w:rsid w:val="00133BBF"/>
    <w:rsid w:val="00135690"/>
    <w:rsid w:val="00135A4E"/>
    <w:rsid w:val="00146183"/>
    <w:rsid w:val="00146C6E"/>
    <w:rsid w:val="00176101"/>
    <w:rsid w:val="00181409"/>
    <w:rsid w:val="00182A54"/>
    <w:rsid w:val="001C3854"/>
    <w:rsid w:val="001D2E7B"/>
    <w:rsid w:val="001D6842"/>
    <w:rsid w:val="001E48C4"/>
    <w:rsid w:val="001E4C54"/>
    <w:rsid w:val="001F5153"/>
    <w:rsid w:val="001F6924"/>
    <w:rsid w:val="00207DA0"/>
    <w:rsid w:val="0024097A"/>
    <w:rsid w:val="00245234"/>
    <w:rsid w:val="0024593A"/>
    <w:rsid w:val="002511A3"/>
    <w:rsid w:val="00252B42"/>
    <w:rsid w:val="00253530"/>
    <w:rsid w:val="00272B81"/>
    <w:rsid w:val="00281EC5"/>
    <w:rsid w:val="002834D7"/>
    <w:rsid w:val="00295D6E"/>
    <w:rsid w:val="002A3FD5"/>
    <w:rsid w:val="002C215C"/>
    <w:rsid w:val="002C275C"/>
    <w:rsid w:val="002D3899"/>
    <w:rsid w:val="002E0C17"/>
    <w:rsid w:val="00316B21"/>
    <w:rsid w:val="00317E5F"/>
    <w:rsid w:val="0034410A"/>
    <w:rsid w:val="003559F8"/>
    <w:rsid w:val="003623D4"/>
    <w:rsid w:val="00383601"/>
    <w:rsid w:val="003870BE"/>
    <w:rsid w:val="003B2F89"/>
    <w:rsid w:val="003D2FF2"/>
    <w:rsid w:val="003D37CA"/>
    <w:rsid w:val="004001EE"/>
    <w:rsid w:val="0042003C"/>
    <w:rsid w:val="004217FE"/>
    <w:rsid w:val="00426EDE"/>
    <w:rsid w:val="00444B77"/>
    <w:rsid w:val="0047072F"/>
    <w:rsid w:val="00471B79"/>
    <w:rsid w:val="004A107A"/>
    <w:rsid w:val="004A5557"/>
    <w:rsid w:val="004B73CA"/>
    <w:rsid w:val="004C1EEE"/>
    <w:rsid w:val="004D3DC3"/>
    <w:rsid w:val="004D546C"/>
    <w:rsid w:val="004E1C7D"/>
    <w:rsid w:val="004E68D0"/>
    <w:rsid w:val="0050435C"/>
    <w:rsid w:val="00512DE4"/>
    <w:rsid w:val="0053216D"/>
    <w:rsid w:val="00532D2A"/>
    <w:rsid w:val="00535431"/>
    <w:rsid w:val="005360C2"/>
    <w:rsid w:val="00536659"/>
    <w:rsid w:val="0054091F"/>
    <w:rsid w:val="00542366"/>
    <w:rsid w:val="005542CD"/>
    <w:rsid w:val="00563618"/>
    <w:rsid w:val="00595608"/>
    <w:rsid w:val="005A2C4E"/>
    <w:rsid w:val="005C7BBA"/>
    <w:rsid w:val="005D6C11"/>
    <w:rsid w:val="005E68F0"/>
    <w:rsid w:val="00610E98"/>
    <w:rsid w:val="006414C2"/>
    <w:rsid w:val="006510FD"/>
    <w:rsid w:val="00660177"/>
    <w:rsid w:val="00670DE0"/>
    <w:rsid w:val="0068065D"/>
    <w:rsid w:val="00681A6D"/>
    <w:rsid w:val="0068308B"/>
    <w:rsid w:val="00684638"/>
    <w:rsid w:val="00686503"/>
    <w:rsid w:val="0068740F"/>
    <w:rsid w:val="006921CD"/>
    <w:rsid w:val="006A695A"/>
    <w:rsid w:val="006B1106"/>
    <w:rsid w:val="006B19A0"/>
    <w:rsid w:val="006B464F"/>
    <w:rsid w:val="006B6FE7"/>
    <w:rsid w:val="006D60B6"/>
    <w:rsid w:val="006E69AF"/>
    <w:rsid w:val="006F4C78"/>
    <w:rsid w:val="00703CD8"/>
    <w:rsid w:val="00706638"/>
    <w:rsid w:val="00717272"/>
    <w:rsid w:val="00724DA4"/>
    <w:rsid w:val="00727D90"/>
    <w:rsid w:val="00727EFD"/>
    <w:rsid w:val="0073213A"/>
    <w:rsid w:val="007345B8"/>
    <w:rsid w:val="00741333"/>
    <w:rsid w:val="007418AF"/>
    <w:rsid w:val="00746A58"/>
    <w:rsid w:val="007637BB"/>
    <w:rsid w:val="00771CC1"/>
    <w:rsid w:val="007748C1"/>
    <w:rsid w:val="00775EE7"/>
    <w:rsid w:val="00796C26"/>
    <w:rsid w:val="007C3EB5"/>
    <w:rsid w:val="007E29B6"/>
    <w:rsid w:val="007F0C4A"/>
    <w:rsid w:val="007F2B1C"/>
    <w:rsid w:val="007F2DD5"/>
    <w:rsid w:val="00804E38"/>
    <w:rsid w:val="00836000"/>
    <w:rsid w:val="008409D4"/>
    <w:rsid w:val="0084182C"/>
    <w:rsid w:val="00843646"/>
    <w:rsid w:val="00871161"/>
    <w:rsid w:val="008C1209"/>
    <w:rsid w:val="008E6DC7"/>
    <w:rsid w:val="008E73FC"/>
    <w:rsid w:val="008F0099"/>
    <w:rsid w:val="0092173B"/>
    <w:rsid w:val="0092411A"/>
    <w:rsid w:val="00930CE9"/>
    <w:rsid w:val="009358DD"/>
    <w:rsid w:val="0094024C"/>
    <w:rsid w:val="0095434C"/>
    <w:rsid w:val="009649CD"/>
    <w:rsid w:val="00965805"/>
    <w:rsid w:val="00966E78"/>
    <w:rsid w:val="00970CCB"/>
    <w:rsid w:val="0097735E"/>
    <w:rsid w:val="009822BF"/>
    <w:rsid w:val="009B30F3"/>
    <w:rsid w:val="009B753B"/>
    <w:rsid w:val="009E61A0"/>
    <w:rsid w:val="009F07D3"/>
    <w:rsid w:val="00A06EF8"/>
    <w:rsid w:val="00A21DDE"/>
    <w:rsid w:val="00A337AA"/>
    <w:rsid w:val="00A41C1B"/>
    <w:rsid w:val="00A530EC"/>
    <w:rsid w:val="00A722E6"/>
    <w:rsid w:val="00A84379"/>
    <w:rsid w:val="00AA2D50"/>
    <w:rsid w:val="00AB5F84"/>
    <w:rsid w:val="00AF2B47"/>
    <w:rsid w:val="00B01875"/>
    <w:rsid w:val="00B14432"/>
    <w:rsid w:val="00B23E6F"/>
    <w:rsid w:val="00B341DB"/>
    <w:rsid w:val="00B34674"/>
    <w:rsid w:val="00B406AB"/>
    <w:rsid w:val="00B456CB"/>
    <w:rsid w:val="00B53C0C"/>
    <w:rsid w:val="00B73B27"/>
    <w:rsid w:val="00B95295"/>
    <w:rsid w:val="00BA3F66"/>
    <w:rsid w:val="00BA568C"/>
    <w:rsid w:val="00BA7F64"/>
    <w:rsid w:val="00BB0DE0"/>
    <w:rsid w:val="00BB34C5"/>
    <w:rsid w:val="00BC1EA1"/>
    <w:rsid w:val="00BC3A7B"/>
    <w:rsid w:val="00BE7FCD"/>
    <w:rsid w:val="00C0708C"/>
    <w:rsid w:val="00C11052"/>
    <w:rsid w:val="00C2690C"/>
    <w:rsid w:val="00C378C4"/>
    <w:rsid w:val="00C40AA0"/>
    <w:rsid w:val="00C56BBE"/>
    <w:rsid w:val="00C60590"/>
    <w:rsid w:val="00C62E7B"/>
    <w:rsid w:val="00C66318"/>
    <w:rsid w:val="00C67A14"/>
    <w:rsid w:val="00C7096F"/>
    <w:rsid w:val="00C80202"/>
    <w:rsid w:val="00C82E9D"/>
    <w:rsid w:val="00C913CA"/>
    <w:rsid w:val="00CD238C"/>
    <w:rsid w:val="00CE2B4D"/>
    <w:rsid w:val="00CE4062"/>
    <w:rsid w:val="00CF1FA9"/>
    <w:rsid w:val="00CF35FC"/>
    <w:rsid w:val="00CF656E"/>
    <w:rsid w:val="00D10832"/>
    <w:rsid w:val="00D10957"/>
    <w:rsid w:val="00D15E62"/>
    <w:rsid w:val="00D20EB7"/>
    <w:rsid w:val="00D23F1E"/>
    <w:rsid w:val="00D301F7"/>
    <w:rsid w:val="00D304C2"/>
    <w:rsid w:val="00D42061"/>
    <w:rsid w:val="00D448B4"/>
    <w:rsid w:val="00D45F34"/>
    <w:rsid w:val="00D46A6B"/>
    <w:rsid w:val="00D51DD7"/>
    <w:rsid w:val="00D545B6"/>
    <w:rsid w:val="00D738E5"/>
    <w:rsid w:val="00DB4C2C"/>
    <w:rsid w:val="00DC7345"/>
    <w:rsid w:val="00DD7159"/>
    <w:rsid w:val="00E14CD7"/>
    <w:rsid w:val="00E21178"/>
    <w:rsid w:val="00E2122C"/>
    <w:rsid w:val="00E2309F"/>
    <w:rsid w:val="00E27F31"/>
    <w:rsid w:val="00E316E3"/>
    <w:rsid w:val="00E40902"/>
    <w:rsid w:val="00E476F2"/>
    <w:rsid w:val="00E50CD2"/>
    <w:rsid w:val="00E56DAE"/>
    <w:rsid w:val="00E61042"/>
    <w:rsid w:val="00E662E4"/>
    <w:rsid w:val="00E71690"/>
    <w:rsid w:val="00E830EC"/>
    <w:rsid w:val="00E857D5"/>
    <w:rsid w:val="00EB1DAC"/>
    <w:rsid w:val="00EB4311"/>
    <w:rsid w:val="00EB4C57"/>
    <w:rsid w:val="00EE7AAC"/>
    <w:rsid w:val="00EF5E7B"/>
    <w:rsid w:val="00EF61CA"/>
    <w:rsid w:val="00F06E4C"/>
    <w:rsid w:val="00F21082"/>
    <w:rsid w:val="00F3195F"/>
    <w:rsid w:val="00F42331"/>
    <w:rsid w:val="00F42F54"/>
    <w:rsid w:val="00F7725C"/>
    <w:rsid w:val="00F87124"/>
    <w:rsid w:val="00FC7559"/>
    <w:rsid w:val="00FD0481"/>
    <w:rsid w:val="00FE1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502"/>
  <w15:chartTrackingRefBased/>
  <w15:docId w15:val="{A76D9763-8553-9046-B574-3CECDF43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C2C"/>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B4C2C"/>
    <w:rPr>
      <w:u w:val="single"/>
    </w:rPr>
  </w:style>
  <w:style w:type="paragraph" w:customStyle="1" w:styleId="Kopf-undFuzeilen">
    <w:name w:val="Kopf- und Fußzeilen"/>
    <w:rsid w:val="00DB4C2C"/>
    <w:pPr>
      <w:pBdr>
        <w:top w:val="nil"/>
        <w:left w:val="nil"/>
        <w:bottom w:val="nil"/>
        <w:right w:val="nil"/>
        <w:between w:val="nil"/>
        <w:bar w:val="nil"/>
      </w:pBdr>
      <w:tabs>
        <w:tab w:val="right" w:pos="9020"/>
      </w:tabs>
    </w:pPr>
    <w:rPr>
      <w:rFonts w:ascii="Helvetica" w:eastAsia="Arial Unicode MS" w:hAnsi="Helvetica" w:cs="Arial Unicode MS"/>
      <w:color w:val="000000"/>
      <w:bdr w:val="nil"/>
    </w:rPr>
  </w:style>
  <w:style w:type="paragraph" w:customStyle="1" w:styleId="Text">
    <w:name w:val="Text"/>
    <w:rsid w:val="00DB4C2C"/>
    <w:pPr>
      <w:pBdr>
        <w:top w:val="nil"/>
        <w:left w:val="nil"/>
        <w:bottom w:val="nil"/>
        <w:right w:val="nil"/>
        <w:between w:val="nil"/>
        <w:bar w:val="nil"/>
      </w:pBdr>
      <w:spacing w:line="360" w:lineRule="auto"/>
      <w:ind w:right="2835"/>
    </w:pPr>
    <w:rPr>
      <w:rFonts w:ascii="Helvetica" w:eastAsia="Arial Unicode MS" w:hAnsi="Helvetica" w:cs="Arial Unicode MS"/>
      <w:color w:val="000000"/>
      <w:sz w:val="22"/>
      <w:szCs w:val="22"/>
      <w:bdr w:val="nil"/>
    </w:rPr>
  </w:style>
  <w:style w:type="paragraph" w:customStyle="1" w:styleId="p1">
    <w:name w:val="p1"/>
    <w:basedOn w:val="Standard"/>
    <w:rsid w:val="00DB4C2C"/>
    <w:pPr>
      <w:spacing w:before="100" w:beforeAutospacing="1" w:after="100" w:afterAutospacing="1"/>
    </w:pPr>
  </w:style>
  <w:style w:type="character" w:customStyle="1" w:styleId="s1">
    <w:name w:val="s1"/>
    <w:basedOn w:val="Absatz-Standardschriftart"/>
    <w:rsid w:val="00DB4C2C"/>
  </w:style>
  <w:style w:type="character" w:customStyle="1" w:styleId="NichtaufgelsteErwhnung1">
    <w:name w:val="Nicht aufgelöste Erwähnung1"/>
    <w:basedOn w:val="Absatz-Standardschriftart"/>
    <w:uiPriority w:val="99"/>
    <w:semiHidden/>
    <w:unhideWhenUsed/>
    <w:rsid w:val="00DB4C2C"/>
    <w:rPr>
      <w:color w:val="605E5C"/>
      <w:shd w:val="clear" w:color="auto" w:fill="E1DFDD"/>
    </w:rPr>
  </w:style>
  <w:style w:type="paragraph" w:styleId="Listenabsatz">
    <w:name w:val="List Paragraph"/>
    <w:basedOn w:val="Standard"/>
    <w:qFormat/>
    <w:rsid w:val="003D37CA"/>
    <w:pPr>
      <w:ind w:left="720"/>
      <w:contextualSpacing/>
    </w:pPr>
  </w:style>
  <w:style w:type="character" w:styleId="Kommentarzeichen">
    <w:name w:val="annotation reference"/>
    <w:basedOn w:val="Absatz-Standardschriftart"/>
    <w:uiPriority w:val="99"/>
    <w:semiHidden/>
    <w:unhideWhenUsed/>
    <w:rsid w:val="007637BB"/>
    <w:rPr>
      <w:sz w:val="16"/>
      <w:szCs w:val="16"/>
    </w:rPr>
  </w:style>
  <w:style w:type="paragraph" w:styleId="Kommentartext">
    <w:name w:val="annotation text"/>
    <w:basedOn w:val="Standard"/>
    <w:link w:val="KommentartextZchn"/>
    <w:uiPriority w:val="99"/>
    <w:semiHidden/>
    <w:unhideWhenUsed/>
    <w:rsid w:val="007637BB"/>
    <w:rPr>
      <w:sz w:val="20"/>
      <w:szCs w:val="20"/>
    </w:rPr>
  </w:style>
  <w:style w:type="character" w:customStyle="1" w:styleId="KommentartextZchn">
    <w:name w:val="Kommentartext Zchn"/>
    <w:basedOn w:val="Absatz-Standardschriftart"/>
    <w:link w:val="Kommentartext"/>
    <w:uiPriority w:val="99"/>
    <w:semiHidden/>
    <w:rsid w:val="007637B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637BB"/>
    <w:rPr>
      <w:b/>
      <w:bCs/>
    </w:rPr>
  </w:style>
  <w:style w:type="character" w:customStyle="1" w:styleId="KommentarthemaZchn">
    <w:name w:val="Kommentarthema Zchn"/>
    <w:basedOn w:val="KommentartextZchn"/>
    <w:link w:val="Kommentarthema"/>
    <w:uiPriority w:val="99"/>
    <w:semiHidden/>
    <w:rsid w:val="007637BB"/>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2E0C17"/>
    <w:rPr>
      <w:color w:val="954F72" w:themeColor="followedHyperlink"/>
      <w:u w:val="single"/>
    </w:rPr>
  </w:style>
  <w:style w:type="paragraph" w:styleId="StandardWeb">
    <w:name w:val="Normal (Web)"/>
    <w:basedOn w:val="Standard"/>
    <w:uiPriority w:val="99"/>
    <w:unhideWhenUsed/>
    <w:rsid w:val="00965805"/>
    <w:pPr>
      <w:spacing w:before="100" w:beforeAutospacing="1" w:after="100" w:afterAutospacing="1"/>
    </w:pPr>
  </w:style>
  <w:style w:type="paragraph" w:styleId="berarbeitung">
    <w:name w:val="Revision"/>
    <w:hidden/>
    <w:uiPriority w:val="99"/>
    <w:semiHidden/>
    <w:rsid w:val="00E50CD2"/>
    <w:rPr>
      <w:rFonts w:ascii="Times New Roman" w:eastAsia="Times New Roman" w:hAnsi="Times New Roman" w:cs="Times New Roman"/>
      <w:lang w:eastAsia="de-DE"/>
    </w:rPr>
  </w:style>
  <w:style w:type="character" w:customStyle="1" w:styleId="apple-converted-space">
    <w:name w:val="apple-converted-space"/>
    <w:basedOn w:val="Absatz-Standardschriftart"/>
    <w:rsid w:val="007E29B6"/>
  </w:style>
  <w:style w:type="character" w:styleId="Fett">
    <w:name w:val="Strong"/>
    <w:basedOn w:val="Absatz-Standardschriftart"/>
    <w:uiPriority w:val="22"/>
    <w:qFormat/>
    <w:rsid w:val="006B19A0"/>
    <w:rPr>
      <w:b/>
      <w:bCs/>
    </w:rPr>
  </w:style>
  <w:style w:type="paragraph" w:customStyle="1" w:styleId="paragraph">
    <w:name w:val="paragraph"/>
    <w:basedOn w:val="Standard"/>
    <w:rsid w:val="00182A54"/>
    <w:pPr>
      <w:spacing w:before="100" w:beforeAutospacing="1" w:after="100" w:afterAutospacing="1"/>
    </w:pPr>
  </w:style>
  <w:style w:type="character" w:customStyle="1" w:styleId="normaltextrun">
    <w:name w:val="normaltextrun"/>
    <w:basedOn w:val="Absatz-Standardschriftart"/>
    <w:rsid w:val="00182A54"/>
  </w:style>
  <w:style w:type="character" w:customStyle="1" w:styleId="eop">
    <w:name w:val="eop"/>
    <w:basedOn w:val="Absatz-Standardschriftart"/>
    <w:rsid w:val="00182A54"/>
  </w:style>
  <w:style w:type="paragraph" w:styleId="KeinLeerraum">
    <w:name w:val="No Spacing"/>
    <w:uiPriority w:val="1"/>
    <w:qFormat/>
    <w:rsid w:val="00471B79"/>
    <w:rPr>
      <w:kern w:val="2"/>
      <w14:ligatures w14:val="standardContextual"/>
    </w:rPr>
  </w:style>
  <w:style w:type="paragraph" w:customStyle="1" w:styleId="font-claude-response-body">
    <w:name w:val="font-claude-response-body"/>
    <w:basedOn w:val="Standard"/>
    <w:rsid w:val="00717272"/>
    <w:pPr>
      <w:spacing w:before="100" w:beforeAutospacing="1" w:after="100" w:afterAutospacing="1"/>
    </w:pPr>
  </w:style>
  <w:style w:type="character" w:customStyle="1" w:styleId="scxw143831672">
    <w:name w:val="scxw143831672"/>
    <w:basedOn w:val="Absatz-Standardschriftart"/>
    <w:rsid w:val="00F31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2951">
      <w:bodyDiv w:val="1"/>
      <w:marLeft w:val="0"/>
      <w:marRight w:val="0"/>
      <w:marTop w:val="0"/>
      <w:marBottom w:val="0"/>
      <w:divBdr>
        <w:top w:val="none" w:sz="0" w:space="0" w:color="auto"/>
        <w:left w:val="none" w:sz="0" w:space="0" w:color="auto"/>
        <w:bottom w:val="none" w:sz="0" w:space="0" w:color="auto"/>
        <w:right w:val="none" w:sz="0" w:space="0" w:color="auto"/>
      </w:divBdr>
    </w:div>
    <w:div w:id="631247795">
      <w:bodyDiv w:val="1"/>
      <w:marLeft w:val="0"/>
      <w:marRight w:val="0"/>
      <w:marTop w:val="0"/>
      <w:marBottom w:val="0"/>
      <w:divBdr>
        <w:top w:val="none" w:sz="0" w:space="0" w:color="auto"/>
        <w:left w:val="none" w:sz="0" w:space="0" w:color="auto"/>
        <w:bottom w:val="none" w:sz="0" w:space="0" w:color="auto"/>
        <w:right w:val="none" w:sz="0" w:space="0" w:color="auto"/>
      </w:divBdr>
    </w:div>
    <w:div w:id="794759580">
      <w:bodyDiv w:val="1"/>
      <w:marLeft w:val="0"/>
      <w:marRight w:val="0"/>
      <w:marTop w:val="0"/>
      <w:marBottom w:val="0"/>
      <w:divBdr>
        <w:top w:val="none" w:sz="0" w:space="0" w:color="auto"/>
        <w:left w:val="none" w:sz="0" w:space="0" w:color="auto"/>
        <w:bottom w:val="none" w:sz="0" w:space="0" w:color="auto"/>
        <w:right w:val="none" w:sz="0" w:space="0" w:color="auto"/>
      </w:divBdr>
    </w:div>
    <w:div w:id="1533230368">
      <w:bodyDiv w:val="1"/>
      <w:marLeft w:val="0"/>
      <w:marRight w:val="0"/>
      <w:marTop w:val="0"/>
      <w:marBottom w:val="0"/>
      <w:divBdr>
        <w:top w:val="none" w:sz="0" w:space="0" w:color="auto"/>
        <w:left w:val="none" w:sz="0" w:space="0" w:color="auto"/>
        <w:bottom w:val="none" w:sz="0" w:space="0" w:color="auto"/>
        <w:right w:val="none" w:sz="0" w:space="0" w:color="auto"/>
      </w:divBdr>
    </w:div>
    <w:div w:id="1584144254">
      <w:bodyDiv w:val="1"/>
      <w:marLeft w:val="0"/>
      <w:marRight w:val="0"/>
      <w:marTop w:val="0"/>
      <w:marBottom w:val="0"/>
      <w:divBdr>
        <w:top w:val="none" w:sz="0" w:space="0" w:color="auto"/>
        <w:left w:val="none" w:sz="0" w:space="0" w:color="auto"/>
        <w:bottom w:val="none" w:sz="0" w:space="0" w:color="auto"/>
        <w:right w:val="none" w:sz="0" w:space="0" w:color="auto"/>
      </w:divBdr>
      <w:divsChild>
        <w:div w:id="1193304822">
          <w:marLeft w:val="0"/>
          <w:marRight w:val="0"/>
          <w:marTop w:val="0"/>
          <w:marBottom w:val="0"/>
          <w:divBdr>
            <w:top w:val="none" w:sz="0" w:space="0" w:color="auto"/>
            <w:left w:val="none" w:sz="0" w:space="0" w:color="auto"/>
            <w:bottom w:val="none" w:sz="0" w:space="0" w:color="auto"/>
            <w:right w:val="none" w:sz="0" w:space="0" w:color="auto"/>
          </w:divBdr>
        </w:div>
        <w:div w:id="493959385">
          <w:marLeft w:val="0"/>
          <w:marRight w:val="0"/>
          <w:marTop w:val="0"/>
          <w:marBottom w:val="0"/>
          <w:divBdr>
            <w:top w:val="none" w:sz="0" w:space="0" w:color="auto"/>
            <w:left w:val="none" w:sz="0" w:space="0" w:color="auto"/>
            <w:bottom w:val="none" w:sz="0" w:space="0" w:color="auto"/>
            <w:right w:val="none" w:sz="0" w:space="0" w:color="auto"/>
          </w:divBdr>
        </w:div>
        <w:div w:id="1709336748">
          <w:marLeft w:val="0"/>
          <w:marRight w:val="0"/>
          <w:marTop w:val="0"/>
          <w:marBottom w:val="0"/>
          <w:divBdr>
            <w:top w:val="none" w:sz="0" w:space="0" w:color="auto"/>
            <w:left w:val="none" w:sz="0" w:space="0" w:color="auto"/>
            <w:bottom w:val="none" w:sz="0" w:space="0" w:color="auto"/>
            <w:right w:val="none" w:sz="0" w:space="0" w:color="auto"/>
          </w:divBdr>
        </w:div>
        <w:div w:id="897280073">
          <w:marLeft w:val="0"/>
          <w:marRight w:val="0"/>
          <w:marTop w:val="0"/>
          <w:marBottom w:val="0"/>
          <w:divBdr>
            <w:top w:val="none" w:sz="0" w:space="0" w:color="auto"/>
            <w:left w:val="none" w:sz="0" w:space="0" w:color="auto"/>
            <w:bottom w:val="none" w:sz="0" w:space="0" w:color="auto"/>
            <w:right w:val="none" w:sz="0" w:space="0" w:color="auto"/>
          </w:divBdr>
        </w:div>
        <w:div w:id="1443649810">
          <w:marLeft w:val="0"/>
          <w:marRight w:val="0"/>
          <w:marTop w:val="0"/>
          <w:marBottom w:val="0"/>
          <w:divBdr>
            <w:top w:val="none" w:sz="0" w:space="0" w:color="auto"/>
            <w:left w:val="none" w:sz="0" w:space="0" w:color="auto"/>
            <w:bottom w:val="none" w:sz="0" w:space="0" w:color="auto"/>
            <w:right w:val="none" w:sz="0" w:space="0" w:color="auto"/>
          </w:divBdr>
        </w:div>
        <w:div w:id="987397622">
          <w:marLeft w:val="0"/>
          <w:marRight w:val="0"/>
          <w:marTop w:val="0"/>
          <w:marBottom w:val="0"/>
          <w:divBdr>
            <w:top w:val="none" w:sz="0" w:space="0" w:color="auto"/>
            <w:left w:val="none" w:sz="0" w:space="0" w:color="auto"/>
            <w:bottom w:val="none" w:sz="0" w:space="0" w:color="auto"/>
            <w:right w:val="none" w:sz="0" w:space="0" w:color="auto"/>
          </w:divBdr>
        </w:div>
        <w:div w:id="1720667284">
          <w:marLeft w:val="0"/>
          <w:marRight w:val="0"/>
          <w:marTop w:val="0"/>
          <w:marBottom w:val="0"/>
          <w:divBdr>
            <w:top w:val="none" w:sz="0" w:space="0" w:color="auto"/>
            <w:left w:val="none" w:sz="0" w:space="0" w:color="auto"/>
            <w:bottom w:val="none" w:sz="0" w:space="0" w:color="auto"/>
            <w:right w:val="none" w:sz="0" w:space="0" w:color="auto"/>
          </w:divBdr>
        </w:div>
        <w:div w:id="1638295665">
          <w:marLeft w:val="0"/>
          <w:marRight w:val="0"/>
          <w:marTop w:val="0"/>
          <w:marBottom w:val="0"/>
          <w:divBdr>
            <w:top w:val="none" w:sz="0" w:space="0" w:color="auto"/>
            <w:left w:val="none" w:sz="0" w:space="0" w:color="auto"/>
            <w:bottom w:val="none" w:sz="0" w:space="0" w:color="auto"/>
            <w:right w:val="none" w:sz="0" w:space="0" w:color="auto"/>
          </w:divBdr>
        </w:div>
        <w:div w:id="1446002998">
          <w:marLeft w:val="0"/>
          <w:marRight w:val="0"/>
          <w:marTop w:val="0"/>
          <w:marBottom w:val="0"/>
          <w:divBdr>
            <w:top w:val="none" w:sz="0" w:space="0" w:color="auto"/>
            <w:left w:val="none" w:sz="0" w:space="0" w:color="auto"/>
            <w:bottom w:val="none" w:sz="0" w:space="0" w:color="auto"/>
            <w:right w:val="none" w:sz="0" w:space="0" w:color="auto"/>
          </w:divBdr>
        </w:div>
      </w:divsChild>
    </w:div>
    <w:div w:id="1662999056">
      <w:bodyDiv w:val="1"/>
      <w:marLeft w:val="0"/>
      <w:marRight w:val="0"/>
      <w:marTop w:val="0"/>
      <w:marBottom w:val="0"/>
      <w:divBdr>
        <w:top w:val="none" w:sz="0" w:space="0" w:color="auto"/>
        <w:left w:val="none" w:sz="0" w:space="0" w:color="auto"/>
        <w:bottom w:val="none" w:sz="0" w:space="0" w:color="auto"/>
        <w:right w:val="none" w:sz="0" w:space="0" w:color="auto"/>
      </w:divBdr>
    </w:div>
    <w:div w:id="18616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Hopp</dc:creator>
  <cp:keywords/>
  <dc:description/>
  <cp:lastModifiedBy>Friederike Hopp</cp:lastModifiedBy>
  <cp:revision>3</cp:revision>
  <cp:lastPrinted>2026-04-17T14:24:00Z</cp:lastPrinted>
  <dcterms:created xsi:type="dcterms:W3CDTF">2026-08-31T06:01:00Z</dcterms:created>
  <dcterms:modified xsi:type="dcterms:W3CDTF">2026-08-31T06:03:00Z</dcterms:modified>
</cp:coreProperties>
</file>