
<file path=[Content_Types].xml><?xml version="1.0" encoding="utf-8"?>
<Types xmlns="http://schemas.openxmlformats.org/package/2006/content-types">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66F506" w14:textId="7DA50AA0" w:rsidR="002E0C17" w:rsidRPr="001118E9" w:rsidRDefault="00DB4C2C" w:rsidP="001118E9">
      <w:pPr>
        <w:spacing w:line="360" w:lineRule="auto"/>
        <w:rPr>
          <w:rStyle w:val="s1"/>
          <w:rFonts w:ascii="Helvetica" w:hAnsi="Helvetica" w:cs="Calibri"/>
          <w:b/>
          <w:bCs/>
          <w:color w:val="000000" w:themeColor="text1"/>
          <w:sz w:val="22"/>
          <w:szCs w:val="22"/>
        </w:rPr>
      </w:pPr>
      <w:r w:rsidRPr="001118E9">
        <w:rPr>
          <w:rStyle w:val="s1"/>
          <w:rFonts w:ascii="Helvetica" w:hAnsi="Helvetica" w:cs="Calibri"/>
          <w:b/>
          <w:bCs/>
          <w:color w:val="000000" w:themeColor="text1"/>
          <w:sz w:val="22"/>
          <w:szCs w:val="22"/>
        </w:rPr>
        <w:t>Pressem</w:t>
      </w:r>
      <w:r w:rsidR="00EB4C57" w:rsidRPr="001118E9">
        <w:rPr>
          <w:rStyle w:val="s1"/>
          <w:rFonts w:ascii="Helvetica" w:hAnsi="Helvetica" w:cs="Calibri"/>
          <w:b/>
          <w:bCs/>
          <w:color w:val="000000" w:themeColor="text1"/>
          <w:sz w:val="22"/>
          <w:szCs w:val="22"/>
        </w:rPr>
        <w:t>i</w:t>
      </w:r>
      <w:r w:rsidRPr="001118E9">
        <w:rPr>
          <w:rStyle w:val="s1"/>
          <w:rFonts w:ascii="Helvetica" w:hAnsi="Helvetica" w:cs="Calibri"/>
          <w:b/>
          <w:bCs/>
          <w:color w:val="000000" w:themeColor="text1"/>
          <w:sz w:val="22"/>
          <w:szCs w:val="22"/>
        </w:rPr>
        <w:t>tteilung</w:t>
      </w:r>
    </w:p>
    <w:p w14:paraId="09A07D27" w14:textId="77777777" w:rsidR="00A84379" w:rsidRPr="001118E9" w:rsidRDefault="00A84379" w:rsidP="001118E9">
      <w:pPr>
        <w:spacing w:line="360" w:lineRule="auto"/>
        <w:rPr>
          <w:rStyle w:val="s1"/>
          <w:rFonts w:ascii="Helvetica" w:hAnsi="Helvetica" w:cs="Calibri"/>
          <w:b/>
          <w:bCs/>
          <w:color w:val="000000" w:themeColor="text1"/>
          <w:sz w:val="22"/>
          <w:szCs w:val="22"/>
        </w:rPr>
      </w:pPr>
    </w:p>
    <w:p w14:paraId="32FC64A3" w14:textId="329BE5A5" w:rsidR="00A45664" w:rsidRDefault="00FA1789" w:rsidP="001118E9">
      <w:pPr>
        <w:spacing w:after="160" w:line="360" w:lineRule="auto"/>
        <w:rPr>
          <w:rFonts w:ascii="Helvetica" w:eastAsia="Arial" w:hAnsi="Helvetica" w:cs="Calibri"/>
          <w:b/>
          <w:bCs/>
          <w:color w:val="000000" w:themeColor="text1"/>
          <w:sz w:val="22"/>
          <w:szCs w:val="22"/>
        </w:rPr>
      </w:pPr>
      <w:r>
        <w:rPr>
          <w:rFonts w:ascii="Helvetica" w:eastAsia="Arial" w:hAnsi="Helvetica" w:cs="Calibri"/>
          <w:b/>
          <w:bCs/>
          <w:color w:val="000000" w:themeColor="text1"/>
          <w:sz w:val="22"/>
          <w:szCs w:val="22"/>
        </w:rPr>
        <w:t xml:space="preserve">Glasfaserausbau der </w:t>
      </w:r>
      <w:r w:rsidR="00A45664">
        <w:rPr>
          <w:rFonts w:ascii="Helvetica" w:eastAsia="Arial" w:hAnsi="Helvetica" w:cs="Calibri"/>
          <w:b/>
          <w:bCs/>
          <w:color w:val="000000" w:themeColor="text1"/>
          <w:sz w:val="22"/>
          <w:szCs w:val="22"/>
        </w:rPr>
        <w:t xml:space="preserve">TNG Stadtnetz GmbH in Butzbach </w:t>
      </w:r>
      <w:r>
        <w:rPr>
          <w:rFonts w:ascii="Helvetica" w:eastAsia="Arial" w:hAnsi="Helvetica" w:cs="Calibri"/>
          <w:b/>
          <w:bCs/>
          <w:color w:val="000000" w:themeColor="text1"/>
          <w:sz w:val="22"/>
          <w:szCs w:val="22"/>
        </w:rPr>
        <w:t>steht vor dem Abschluss</w:t>
      </w:r>
    </w:p>
    <w:p w14:paraId="2F0173E4" w14:textId="77777777" w:rsidR="00A45664" w:rsidRPr="00A45664" w:rsidRDefault="00A45664" w:rsidP="00A45664">
      <w:pPr>
        <w:pStyle w:val="KeinLeerraum"/>
        <w:numPr>
          <w:ilvl w:val="0"/>
          <w:numId w:val="4"/>
        </w:numPr>
        <w:spacing w:line="360" w:lineRule="auto"/>
        <w:rPr>
          <w:rFonts w:ascii="Helvetica" w:hAnsi="Helvetica"/>
          <w:b/>
          <w:bCs/>
          <w:sz w:val="22"/>
          <w:szCs w:val="22"/>
          <w:lang w:eastAsia="de-DE"/>
        </w:rPr>
      </w:pPr>
      <w:r w:rsidRPr="00A45664">
        <w:rPr>
          <w:rFonts w:ascii="Helvetica" w:hAnsi="Helvetica"/>
          <w:b/>
          <w:bCs/>
          <w:sz w:val="22"/>
          <w:szCs w:val="22"/>
          <w:lang w:eastAsia="de-DE"/>
        </w:rPr>
        <w:t>Rund 85 Kilometer Glasfasertrasse in rund zwei Jahren Bauzeit verlegt</w:t>
      </w:r>
    </w:p>
    <w:p w14:paraId="210B2217" w14:textId="36366552" w:rsidR="00CF5CCA" w:rsidRPr="00A45664" w:rsidRDefault="00FA1789" w:rsidP="00A45664">
      <w:pPr>
        <w:pStyle w:val="KeinLeerraum"/>
        <w:numPr>
          <w:ilvl w:val="0"/>
          <w:numId w:val="4"/>
        </w:numPr>
        <w:spacing w:line="360" w:lineRule="auto"/>
        <w:rPr>
          <w:rFonts w:ascii="Helvetica" w:hAnsi="Helvetica"/>
          <w:b/>
          <w:bCs/>
          <w:sz w:val="22"/>
          <w:szCs w:val="22"/>
          <w:lang w:eastAsia="de-DE"/>
        </w:rPr>
      </w:pPr>
      <w:r>
        <w:rPr>
          <w:rFonts w:ascii="Helvetica" w:hAnsi="Helvetica"/>
          <w:b/>
          <w:bCs/>
          <w:sz w:val="22"/>
          <w:szCs w:val="22"/>
          <w:lang w:eastAsia="de-DE"/>
        </w:rPr>
        <w:t>Anschluss an das Glasfasernetz weiterhin kostenfrei möglich</w:t>
      </w:r>
    </w:p>
    <w:p w14:paraId="32AA7FA1" w14:textId="37EAAD89" w:rsidR="00FA1789" w:rsidRPr="00FA1789" w:rsidRDefault="003559F8" w:rsidP="00FA1789">
      <w:pPr>
        <w:pStyle w:val="whitespace-pre-wrap"/>
        <w:spacing w:before="0" w:beforeAutospacing="0" w:after="0" w:afterAutospacing="0" w:line="360" w:lineRule="auto"/>
        <w:rPr>
          <w:rFonts w:ascii="Helvetica" w:hAnsi="Helvetica" w:cs="Segoe UI"/>
          <w:sz w:val="22"/>
          <w:szCs w:val="22"/>
        </w:rPr>
      </w:pPr>
      <w:r w:rsidRPr="001118E9">
        <w:rPr>
          <w:rStyle w:val="s1"/>
          <w:rFonts w:ascii="Helvetica" w:hAnsi="Helvetica" w:cs="Calibri"/>
          <w:color w:val="000000" w:themeColor="text1"/>
          <w:sz w:val="22"/>
          <w:szCs w:val="22"/>
        </w:rPr>
        <w:br/>
      </w:r>
      <w:r w:rsidR="00CF5CCA">
        <w:rPr>
          <w:rStyle w:val="s1"/>
          <w:rFonts w:ascii="Helvetica" w:hAnsi="Helvetica" w:cs="Calibri"/>
          <w:color w:val="000000" w:themeColor="text1"/>
          <w:sz w:val="22"/>
          <w:szCs w:val="22"/>
        </w:rPr>
        <w:t xml:space="preserve">Kiel, den </w:t>
      </w:r>
      <w:r w:rsidR="001D31A2">
        <w:rPr>
          <w:rStyle w:val="s1"/>
          <w:rFonts w:ascii="Helvetica" w:hAnsi="Helvetica" w:cs="Calibri"/>
          <w:color w:val="000000" w:themeColor="text1"/>
          <w:sz w:val="22"/>
          <w:szCs w:val="22"/>
        </w:rPr>
        <w:t>02.11</w:t>
      </w:r>
      <w:r w:rsidR="00CF35FC" w:rsidRPr="001118E9">
        <w:rPr>
          <w:rStyle w:val="s1"/>
          <w:rFonts w:ascii="Helvetica" w:hAnsi="Helvetica" w:cs="Calibri"/>
          <w:color w:val="000000" w:themeColor="text1"/>
          <w:sz w:val="22"/>
          <w:szCs w:val="22"/>
        </w:rPr>
        <w:t>.202</w:t>
      </w:r>
      <w:r w:rsidR="008E6DC7" w:rsidRPr="001118E9">
        <w:rPr>
          <w:rStyle w:val="s1"/>
          <w:rFonts w:ascii="Helvetica" w:hAnsi="Helvetica" w:cs="Calibri"/>
          <w:color w:val="000000" w:themeColor="text1"/>
          <w:sz w:val="22"/>
          <w:szCs w:val="22"/>
        </w:rPr>
        <w:t>6</w:t>
      </w:r>
      <w:r w:rsidR="00CF35FC" w:rsidRPr="00FA1789">
        <w:rPr>
          <w:rStyle w:val="s1"/>
          <w:rFonts w:ascii="Helvetica" w:hAnsi="Helvetica" w:cs="Calibri"/>
          <w:color w:val="000000" w:themeColor="text1"/>
          <w:sz w:val="22"/>
          <w:szCs w:val="22"/>
        </w:rPr>
        <w:t xml:space="preserve"> </w:t>
      </w:r>
      <w:r w:rsidR="003870BE" w:rsidRPr="00FA1789">
        <w:rPr>
          <w:rStyle w:val="s1"/>
          <w:rFonts w:ascii="Helvetica" w:hAnsi="Helvetica" w:cs="Calibri"/>
          <w:color w:val="000000" w:themeColor="text1"/>
          <w:sz w:val="22"/>
          <w:szCs w:val="22"/>
        </w:rPr>
        <w:t xml:space="preserve">– </w:t>
      </w:r>
      <w:r w:rsidR="00FA1789" w:rsidRPr="00FA1789">
        <w:rPr>
          <w:rFonts w:ascii="Helvetica" w:hAnsi="Helvetica" w:cs="Segoe UI"/>
          <w:sz w:val="22"/>
          <w:szCs w:val="22"/>
        </w:rPr>
        <w:t>Nach rund zwei Jahren Bauzeit sind die Glasfaserarbeiten der TNG Stadtnetz GmbH in der Butzbacher Kernstadt und im Stadtteil Griedel nahezu beendet. Verlegt wurden rund 85 Kilometer Glasfasertrasse im klassischen Tiefbauverfahren. Damit können rund 8.500 Butzbacher Haushalte mit schnellem Internet versorgt werden. Umgesetzt hat TNG das Ausbauprojekt gemeinsam mit dem Generalunternehmer R. &amp; R. Heming GmbH. Lediglich in der historischen Altstadt wird aktuell auf rund 60 Metern der letzte Bauabschnitt fertiggestellt. Anschließend ist der Ausbau im gesamten Projektgebiet abgeschlossen.</w:t>
      </w:r>
    </w:p>
    <w:p w14:paraId="434BEACD" w14:textId="77777777" w:rsidR="00FA1789" w:rsidRDefault="00FA1789" w:rsidP="00FA1789">
      <w:pPr>
        <w:pStyle w:val="whitespace-pre-wrap"/>
        <w:spacing w:before="0" w:beforeAutospacing="0" w:after="0" w:afterAutospacing="0" w:line="360" w:lineRule="auto"/>
        <w:rPr>
          <w:rFonts w:ascii="Helvetica" w:hAnsi="Helvetica" w:cs="Segoe UI"/>
          <w:sz w:val="22"/>
          <w:szCs w:val="22"/>
        </w:rPr>
      </w:pPr>
    </w:p>
    <w:p w14:paraId="51EF00DB" w14:textId="2B6B0281" w:rsidR="00FA1789" w:rsidRPr="00FA1789" w:rsidRDefault="00FA1789" w:rsidP="00FA1789">
      <w:pPr>
        <w:pStyle w:val="whitespace-pre-wrap"/>
        <w:spacing w:before="0" w:beforeAutospacing="0" w:after="0" w:afterAutospacing="0" w:line="360" w:lineRule="auto"/>
        <w:rPr>
          <w:rFonts w:ascii="Helvetica" w:hAnsi="Helvetica" w:cs="Segoe UI"/>
          <w:sz w:val="22"/>
          <w:szCs w:val="22"/>
        </w:rPr>
      </w:pPr>
      <w:r w:rsidRPr="00FA1789">
        <w:rPr>
          <w:rFonts w:ascii="Helvetica" w:hAnsi="Helvetica" w:cs="Segoe UI"/>
          <w:b/>
          <w:bCs/>
          <w:sz w:val="22"/>
          <w:szCs w:val="22"/>
        </w:rPr>
        <w:t>Erfolgreiche Zusammenarbeit als Grundlage</w:t>
      </w:r>
      <w:r w:rsidRPr="00FA1789">
        <w:rPr>
          <w:rFonts w:ascii="Helvetica" w:hAnsi="Helvetica" w:cs="Segoe UI"/>
          <w:sz w:val="22"/>
          <w:szCs w:val="22"/>
        </w:rPr>
        <w:br/>
        <w:t>Ein wesentlicher Erfolgsfaktor des Projekts war die konstruktive Zusammenarbeit zwischen der Stadtverwaltung Butzbach, TNG und dem ausführenden Bauunternehmen R. &amp; R. Heming GmbH.</w:t>
      </w:r>
      <w:r w:rsidRPr="00FA1789">
        <w:rPr>
          <w:rFonts w:ascii="Helvetica" w:hAnsi="Helvetica" w:cs="Segoe UI"/>
          <w:sz w:val="22"/>
          <w:szCs w:val="22"/>
        </w:rPr>
        <w:br/>
        <w:t>Dadurch war es möglich, die umfangreichen Ausbauarbeiten über den Zeitraum von zwei Jahren planmäßig voranzubringen, auch in sensiblen Bereichen wie der Altstadt.</w:t>
      </w:r>
    </w:p>
    <w:p w14:paraId="19406DCA" w14:textId="77777777" w:rsidR="00FA1789" w:rsidRDefault="00FA1789" w:rsidP="00FA1789">
      <w:pPr>
        <w:pStyle w:val="whitespace-pre-wrap"/>
        <w:spacing w:before="0" w:beforeAutospacing="0" w:after="0" w:afterAutospacing="0" w:line="360" w:lineRule="auto"/>
        <w:rPr>
          <w:rFonts w:ascii="Helvetica" w:hAnsi="Helvetica" w:cs="Segoe UI"/>
          <w:sz w:val="22"/>
          <w:szCs w:val="22"/>
        </w:rPr>
      </w:pPr>
    </w:p>
    <w:p w14:paraId="5900A255" w14:textId="1124CFA6" w:rsidR="00FA1789" w:rsidRDefault="00FA1789" w:rsidP="00FA1789">
      <w:pPr>
        <w:pStyle w:val="whitespace-pre-wrap"/>
        <w:spacing w:before="0" w:beforeAutospacing="0" w:after="0" w:afterAutospacing="0" w:line="360" w:lineRule="auto"/>
        <w:rPr>
          <w:rFonts w:ascii="Helvetica" w:hAnsi="Helvetica" w:cs="Segoe UI"/>
          <w:sz w:val="22"/>
          <w:szCs w:val="22"/>
        </w:rPr>
      </w:pPr>
      <w:r w:rsidRPr="00FA1789">
        <w:rPr>
          <w:rFonts w:ascii="Helvetica" w:hAnsi="Helvetica" w:cs="Segoe UI"/>
          <w:sz w:val="22"/>
          <w:szCs w:val="22"/>
        </w:rPr>
        <w:t xml:space="preserve">Butzbachs Bürgermeister Sascha Huber dazu: „Mit dem Glasfasernetz erhält Butzbach eine Infrastruktur, die unsere Stadt langfristig als Wohn- und Wirtschaftsstandort stärkt. Dass der Ausbau in dieser Größenordnung </w:t>
      </w:r>
      <w:r w:rsidR="00D92503">
        <w:rPr>
          <w:rFonts w:ascii="Helvetica" w:hAnsi="Helvetica" w:cs="Segoe UI"/>
          <w:sz w:val="22"/>
          <w:szCs w:val="22"/>
        </w:rPr>
        <w:t>so reibungslos</w:t>
      </w:r>
      <w:r w:rsidRPr="00FA1789">
        <w:rPr>
          <w:rFonts w:ascii="Helvetica" w:hAnsi="Helvetica" w:cs="Segoe UI"/>
          <w:sz w:val="22"/>
          <w:szCs w:val="22"/>
        </w:rPr>
        <w:t xml:space="preserve"> gelaufen ist, war nur möglich, weil die Zusammenarbeit und Kommunikation zwischen Verwaltung, TNG und den Baufirmen </w:t>
      </w:r>
      <w:r w:rsidR="00D92503">
        <w:rPr>
          <w:rFonts w:ascii="Helvetica" w:hAnsi="Helvetica" w:cs="Segoe UI"/>
          <w:sz w:val="22"/>
          <w:szCs w:val="22"/>
        </w:rPr>
        <w:t xml:space="preserve">gut </w:t>
      </w:r>
      <w:r w:rsidRPr="00FA1789">
        <w:rPr>
          <w:rFonts w:ascii="Helvetica" w:hAnsi="Helvetica" w:cs="Segoe UI"/>
          <w:sz w:val="22"/>
          <w:szCs w:val="22"/>
        </w:rPr>
        <w:t>funktioniert hat.“</w:t>
      </w:r>
    </w:p>
    <w:p w14:paraId="10F35EBF" w14:textId="77777777" w:rsidR="00FA1789" w:rsidRPr="00FA1789" w:rsidRDefault="00FA1789" w:rsidP="00FA1789">
      <w:pPr>
        <w:pStyle w:val="whitespace-pre-wrap"/>
        <w:spacing w:before="0" w:beforeAutospacing="0" w:after="0" w:afterAutospacing="0" w:line="360" w:lineRule="auto"/>
        <w:rPr>
          <w:rFonts w:ascii="Helvetica" w:hAnsi="Helvetica" w:cs="Segoe UI"/>
          <w:sz w:val="22"/>
          <w:szCs w:val="22"/>
        </w:rPr>
      </w:pPr>
    </w:p>
    <w:p w14:paraId="08606961" w14:textId="77777777" w:rsidR="00FA1789" w:rsidRPr="00FA1789" w:rsidRDefault="00FA1789" w:rsidP="00FA1789">
      <w:pPr>
        <w:pStyle w:val="whitespace-pre-wrap"/>
        <w:spacing w:before="0" w:beforeAutospacing="0" w:after="0" w:afterAutospacing="0" w:line="360" w:lineRule="auto"/>
        <w:rPr>
          <w:rFonts w:ascii="Helvetica" w:hAnsi="Helvetica" w:cs="Segoe UI"/>
          <w:sz w:val="22"/>
          <w:szCs w:val="22"/>
        </w:rPr>
      </w:pPr>
      <w:r w:rsidRPr="00FA1789">
        <w:rPr>
          <w:rFonts w:ascii="Helvetica" w:hAnsi="Helvetica" w:cs="Segoe UI"/>
          <w:sz w:val="22"/>
          <w:szCs w:val="22"/>
        </w:rPr>
        <w:t>Raphael Kupfermann, Regionalleiter bei TNG, fügt hinzu: „Wir bedanken uns ausdrücklich bei der Stadt Butzbach für die stets partnerschaftliche Zusammenarbeit. Der gemeinsame Einsatz aller Beteiligten hat maßgeblich dazu beigetragen, das Glasfasernetz in Butzbach nachhaltig auszubauen und die Voraussetzungen für eine leistungsfähige digitale Zukunft zu schaffen.“</w:t>
      </w:r>
    </w:p>
    <w:p w14:paraId="341E1692" w14:textId="0E7113EA" w:rsidR="00FA1789" w:rsidRDefault="00FA1789" w:rsidP="00FA1789">
      <w:pPr>
        <w:pStyle w:val="whitespace-pre-wrap"/>
        <w:spacing w:before="0" w:beforeAutospacing="0" w:after="0" w:afterAutospacing="0" w:line="360" w:lineRule="auto"/>
        <w:rPr>
          <w:rFonts w:ascii="Helvetica" w:hAnsi="Helvetica" w:cs="Segoe UI"/>
          <w:sz w:val="22"/>
          <w:szCs w:val="22"/>
        </w:rPr>
      </w:pPr>
    </w:p>
    <w:p w14:paraId="75B76130" w14:textId="6725E70F" w:rsidR="00FA1789" w:rsidRDefault="00FA1789" w:rsidP="00FA1789">
      <w:pPr>
        <w:pStyle w:val="whitespace-pre-wrap"/>
        <w:spacing w:before="0" w:beforeAutospacing="0" w:after="0" w:afterAutospacing="0" w:line="360" w:lineRule="auto"/>
        <w:rPr>
          <w:rFonts w:ascii="Helvetica" w:hAnsi="Helvetica" w:cs="Segoe UI"/>
          <w:sz w:val="22"/>
          <w:szCs w:val="22"/>
        </w:rPr>
      </w:pPr>
      <w:r w:rsidRPr="00FA1789">
        <w:rPr>
          <w:rFonts w:ascii="Helvetica" w:hAnsi="Helvetica" w:cs="Segoe UI"/>
          <w:b/>
          <w:bCs/>
          <w:sz w:val="22"/>
          <w:szCs w:val="22"/>
        </w:rPr>
        <w:t>Hausanschluss bleibt kostenfrei – Beratung vor Ort möglich</w:t>
      </w:r>
      <w:r w:rsidRPr="00FA1789">
        <w:rPr>
          <w:rFonts w:ascii="Helvetica" w:hAnsi="Helvetica" w:cs="Segoe UI"/>
          <w:sz w:val="22"/>
          <w:szCs w:val="22"/>
        </w:rPr>
        <w:br/>
        <w:t xml:space="preserve">Alle Haushalte, die sich bisher nicht für einen Glasfaseranschluss entschieden haben, können </w:t>
      </w:r>
      <w:r w:rsidRPr="00FA1789">
        <w:rPr>
          <w:rFonts w:ascii="Helvetica" w:hAnsi="Helvetica" w:cs="Segoe UI"/>
          <w:sz w:val="22"/>
          <w:szCs w:val="22"/>
        </w:rPr>
        <w:lastRenderedPageBreak/>
        <w:t xml:space="preserve">weiterhin einen Anschluss erhalten. Der Hausanschluss bleibt bei Abschluss eines Glasfaservertrags bis auf Weiteres kostenfrei. </w:t>
      </w:r>
    </w:p>
    <w:p w14:paraId="2AE37A4C" w14:textId="77777777" w:rsidR="00FA1789" w:rsidRPr="00FA1789" w:rsidRDefault="00FA1789" w:rsidP="00FA1789">
      <w:pPr>
        <w:pStyle w:val="whitespace-pre-wrap"/>
        <w:spacing w:before="0" w:beforeAutospacing="0" w:after="0" w:afterAutospacing="0" w:line="360" w:lineRule="auto"/>
        <w:rPr>
          <w:rFonts w:ascii="Helvetica" w:hAnsi="Helvetica" w:cs="Segoe UI"/>
          <w:sz w:val="22"/>
          <w:szCs w:val="22"/>
        </w:rPr>
      </w:pPr>
    </w:p>
    <w:p w14:paraId="17185C0F" w14:textId="77777777" w:rsidR="00FA1789" w:rsidRPr="00FA1789" w:rsidRDefault="00FA1789" w:rsidP="00FA1789">
      <w:pPr>
        <w:pStyle w:val="whitespace-pre-wrap"/>
        <w:spacing w:before="0" w:beforeAutospacing="0" w:after="0" w:afterAutospacing="0" w:line="360" w:lineRule="auto"/>
        <w:rPr>
          <w:rFonts w:ascii="Helvetica" w:hAnsi="Helvetica" w:cs="Segoe UI"/>
          <w:sz w:val="22"/>
          <w:szCs w:val="22"/>
        </w:rPr>
      </w:pPr>
      <w:r w:rsidRPr="00FA1789">
        <w:rPr>
          <w:rFonts w:ascii="Helvetica" w:hAnsi="Helvetica" w:cs="Segoe UI"/>
          <w:sz w:val="22"/>
          <w:szCs w:val="22"/>
        </w:rPr>
        <w:t xml:space="preserve">Um möglichst viele </w:t>
      </w:r>
      <w:proofErr w:type="gramStart"/>
      <w:r w:rsidRPr="00FA1789">
        <w:rPr>
          <w:rFonts w:ascii="Helvetica" w:hAnsi="Helvetica" w:cs="Segoe UI"/>
          <w:sz w:val="22"/>
          <w:szCs w:val="22"/>
        </w:rPr>
        <w:t>Bürger:innen</w:t>
      </w:r>
      <w:proofErr w:type="gramEnd"/>
      <w:r w:rsidRPr="00FA1789">
        <w:rPr>
          <w:rFonts w:ascii="Helvetica" w:hAnsi="Helvetica" w:cs="Segoe UI"/>
          <w:sz w:val="22"/>
          <w:szCs w:val="22"/>
        </w:rPr>
        <w:t xml:space="preserve"> über die Anschlussmöglichkeiten zu informieren, wird die R. &amp; R. Heming GmbH künftig aktiv auf Interessierte zugehen. Das Unternehmen übernimmt im Auftrag von TNG weiterhin den Bau der Hausanschlüsse und auch den Vertrieb der Glasfasertarife vor Ort. </w:t>
      </w:r>
    </w:p>
    <w:p w14:paraId="301CE6A6" w14:textId="77777777" w:rsidR="00FA1789" w:rsidRDefault="00FA1789" w:rsidP="00FA1789">
      <w:pPr>
        <w:pStyle w:val="whitespace-pre-wrap"/>
        <w:spacing w:before="0" w:beforeAutospacing="0" w:after="0" w:afterAutospacing="0" w:line="360" w:lineRule="auto"/>
        <w:rPr>
          <w:rFonts w:ascii="Helvetica" w:hAnsi="Helvetica" w:cs="Segoe UI"/>
          <w:sz w:val="22"/>
          <w:szCs w:val="22"/>
        </w:rPr>
      </w:pPr>
    </w:p>
    <w:p w14:paraId="1C907B66" w14:textId="73D79285" w:rsidR="00FA1789" w:rsidRDefault="00FA1789" w:rsidP="00FA1789">
      <w:pPr>
        <w:pStyle w:val="whitespace-pre-wrap"/>
        <w:spacing w:before="0" w:beforeAutospacing="0" w:after="0" w:afterAutospacing="0" w:line="360" w:lineRule="auto"/>
        <w:rPr>
          <w:rFonts w:ascii="Helvetica" w:hAnsi="Helvetica" w:cs="Segoe UI"/>
          <w:sz w:val="22"/>
          <w:szCs w:val="22"/>
        </w:rPr>
      </w:pPr>
      <w:r w:rsidRPr="00FA1789">
        <w:rPr>
          <w:rFonts w:ascii="Helvetica" w:hAnsi="Helvetica" w:cs="Segoe UI"/>
          <w:sz w:val="22"/>
          <w:szCs w:val="22"/>
        </w:rPr>
        <w:t xml:space="preserve">Darüber hinaus sind Informations- und Beratungsstände auf Märkten sowie bei weiteren Veranstaltungen in Butzbach geplant. Dort können sich Interessierte persönlich beraten lassen und bei Bedarf direkt einen Vertrag für einen Glasfaseranschluss abschließen. </w:t>
      </w:r>
      <w:r w:rsidRPr="00FA1789">
        <w:rPr>
          <w:rFonts w:ascii="Helvetica" w:hAnsi="Helvetica" w:cs="Segoe UI"/>
          <w:sz w:val="22"/>
          <w:szCs w:val="22"/>
        </w:rPr>
        <w:br/>
        <w:t>Alle Informationen zu bevorstehenden Veranstaltungen werden rechtzeitig auf tng.de/</w:t>
      </w:r>
      <w:proofErr w:type="spellStart"/>
      <w:r w:rsidRPr="00FA1789">
        <w:rPr>
          <w:rFonts w:ascii="Helvetica" w:hAnsi="Helvetica" w:cs="Segoe UI"/>
          <w:sz w:val="22"/>
          <w:szCs w:val="22"/>
        </w:rPr>
        <w:t>butzbach</w:t>
      </w:r>
      <w:proofErr w:type="spellEnd"/>
      <w:r w:rsidRPr="00FA1789">
        <w:rPr>
          <w:rFonts w:ascii="Helvetica" w:hAnsi="Helvetica" w:cs="Segoe UI"/>
          <w:sz w:val="22"/>
          <w:szCs w:val="22"/>
        </w:rPr>
        <w:t xml:space="preserve"> bekannt gegeben.</w:t>
      </w:r>
    </w:p>
    <w:p w14:paraId="445498BE" w14:textId="77777777" w:rsidR="00FA490E" w:rsidRPr="00FA490E" w:rsidRDefault="00FA490E" w:rsidP="00FA490E">
      <w:pPr>
        <w:pStyle w:val="whitespace-pre-wrap"/>
        <w:spacing w:before="0" w:beforeAutospacing="0" w:after="0" w:afterAutospacing="0" w:line="360" w:lineRule="auto"/>
        <w:rPr>
          <w:rFonts w:ascii="Helvetica" w:hAnsi="Helvetica" w:cs="Segoe UI"/>
          <w:sz w:val="22"/>
          <w:szCs w:val="22"/>
        </w:rPr>
      </w:pPr>
    </w:p>
    <w:p w14:paraId="4222D67D" w14:textId="0F0AF286" w:rsidR="00FA490E" w:rsidRPr="00FA490E" w:rsidRDefault="00FA490E" w:rsidP="00FA490E">
      <w:pPr>
        <w:spacing w:after="200" w:line="360" w:lineRule="auto"/>
        <w:jc w:val="both"/>
        <w:rPr>
          <w:rFonts w:ascii="Helvetica" w:eastAsiaTheme="minorHAnsi" w:hAnsi="Helvetica"/>
          <w:sz w:val="22"/>
          <w:szCs w:val="22"/>
          <w:lang w:eastAsia="en-US"/>
        </w:rPr>
      </w:pPr>
      <w:r w:rsidRPr="00FA490E">
        <w:rPr>
          <w:rFonts w:ascii="Helvetica" w:hAnsi="Helvetica" w:cs="Segoe UI"/>
          <w:sz w:val="22"/>
          <w:szCs w:val="22"/>
        </w:rPr>
        <w:t xml:space="preserve">Foto (v. l. n. r.): </w:t>
      </w:r>
      <w:r w:rsidRPr="00FA490E">
        <w:rPr>
          <w:rFonts w:ascii="Helvetica" w:eastAsiaTheme="minorHAnsi" w:hAnsi="Helvetica"/>
          <w:sz w:val="22"/>
          <w:szCs w:val="22"/>
          <w:lang w:eastAsia="en-US"/>
        </w:rPr>
        <w:t>Christopher Matz (R&amp;R Heming GmbH), Peter Bockhorn (Geschäftsführer R&amp;R Heming GmbH), Markus Lambrecht (Fachdienstleiter Stadt Butzbach), Sascha Huber</w:t>
      </w:r>
      <w:r w:rsidR="00301BB2">
        <w:rPr>
          <w:rFonts w:ascii="Helvetica" w:eastAsiaTheme="minorHAnsi" w:hAnsi="Helvetica"/>
          <w:sz w:val="22"/>
          <w:szCs w:val="22"/>
          <w:lang w:eastAsia="en-US"/>
        </w:rPr>
        <w:t xml:space="preserve"> (</w:t>
      </w:r>
      <w:r w:rsidR="00301BB2" w:rsidRPr="00FA490E">
        <w:rPr>
          <w:rFonts w:ascii="Helvetica" w:eastAsiaTheme="minorHAnsi" w:hAnsi="Helvetica"/>
          <w:sz w:val="22"/>
          <w:szCs w:val="22"/>
          <w:lang w:eastAsia="en-US"/>
        </w:rPr>
        <w:t>Bürgermeister</w:t>
      </w:r>
      <w:r w:rsidR="00301BB2">
        <w:rPr>
          <w:rFonts w:ascii="Helvetica" w:eastAsiaTheme="minorHAnsi" w:hAnsi="Helvetica"/>
          <w:sz w:val="22"/>
          <w:szCs w:val="22"/>
          <w:lang w:eastAsia="en-US"/>
        </w:rPr>
        <w:t xml:space="preserve"> Butzbachs)</w:t>
      </w:r>
      <w:r w:rsidRPr="00FA490E">
        <w:rPr>
          <w:rFonts w:ascii="Helvetica" w:eastAsiaTheme="minorHAnsi" w:hAnsi="Helvetica"/>
          <w:sz w:val="22"/>
          <w:szCs w:val="22"/>
          <w:lang w:eastAsia="en-US"/>
        </w:rPr>
        <w:t>, Raphael Kupfermann (Regionalleiter TNG Stadtnetz GmbH), Konstantin Sarantopoulos (TNG Stadtnetz GmbH), Thomas Engelkern (R&amp;R Heming GmbH)</w:t>
      </w:r>
    </w:p>
    <w:p w14:paraId="1BD26B0C" w14:textId="4D8B4397" w:rsidR="00FA490E" w:rsidRPr="00FA1789" w:rsidRDefault="00FA490E" w:rsidP="00FA1789">
      <w:pPr>
        <w:pStyle w:val="whitespace-pre-wrap"/>
        <w:spacing w:before="0" w:beforeAutospacing="0" w:after="0" w:afterAutospacing="0" w:line="360" w:lineRule="auto"/>
        <w:rPr>
          <w:rFonts w:ascii="Helvetica" w:hAnsi="Helvetica" w:cs="Segoe UI"/>
          <w:sz w:val="22"/>
          <w:szCs w:val="22"/>
        </w:rPr>
      </w:pPr>
    </w:p>
    <w:p w14:paraId="2385E780" w14:textId="7614AA00" w:rsidR="00717272" w:rsidRPr="001118E9" w:rsidRDefault="007E29B6" w:rsidP="007307DE">
      <w:pPr>
        <w:spacing w:after="480" w:line="360" w:lineRule="auto"/>
        <w:rPr>
          <w:rFonts w:ascii="Helvetica" w:hAnsi="Helvetica" w:cs="Calibri"/>
          <w:color w:val="000000" w:themeColor="text1"/>
          <w:sz w:val="22"/>
          <w:szCs w:val="22"/>
        </w:rPr>
      </w:pPr>
      <w:r w:rsidRPr="001118E9">
        <w:rPr>
          <w:rStyle w:val="s1"/>
          <w:rFonts w:ascii="Helvetica" w:hAnsi="Helvetica" w:cs="Calibri"/>
          <w:b/>
          <w:bCs/>
          <w:color w:val="000000" w:themeColor="text1"/>
          <w:sz w:val="22"/>
          <w:szCs w:val="22"/>
        </w:rPr>
        <w:br/>
      </w:r>
      <w:r w:rsidR="00DB4C2C" w:rsidRPr="001118E9">
        <w:rPr>
          <w:rStyle w:val="s1"/>
          <w:rFonts w:ascii="Helvetica" w:hAnsi="Helvetica" w:cs="Calibri"/>
          <w:b/>
          <w:bCs/>
          <w:color w:val="000000" w:themeColor="text1"/>
          <w:sz w:val="22"/>
          <w:szCs w:val="22"/>
        </w:rPr>
        <w:t>Informationen zur TNG Stadtnetz Gm</w:t>
      </w:r>
      <w:r w:rsidRPr="001118E9">
        <w:rPr>
          <w:rStyle w:val="s1"/>
          <w:rFonts w:ascii="Helvetica" w:hAnsi="Helvetica" w:cs="Calibri"/>
          <w:b/>
          <w:bCs/>
          <w:color w:val="000000" w:themeColor="text1"/>
          <w:sz w:val="22"/>
          <w:szCs w:val="22"/>
        </w:rPr>
        <w:t>b</w:t>
      </w:r>
      <w:r w:rsidR="006B19A0" w:rsidRPr="001118E9">
        <w:rPr>
          <w:rStyle w:val="s1"/>
          <w:rFonts w:ascii="Helvetica" w:hAnsi="Helvetica" w:cs="Calibri"/>
          <w:b/>
          <w:bCs/>
          <w:color w:val="000000" w:themeColor="text1"/>
          <w:sz w:val="22"/>
          <w:szCs w:val="22"/>
        </w:rPr>
        <w:t>H</w:t>
      </w:r>
      <w:r w:rsidR="006B19A0" w:rsidRPr="001118E9">
        <w:rPr>
          <w:rStyle w:val="s1"/>
          <w:rFonts w:ascii="Helvetica" w:hAnsi="Helvetica" w:cs="Calibri"/>
          <w:b/>
          <w:bCs/>
          <w:color w:val="000000" w:themeColor="text1"/>
          <w:sz w:val="22"/>
          <w:szCs w:val="22"/>
        </w:rPr>
        <w:br/>
      </w:r>
      <w:r w:rsidR="00625032" w:rsidRPr="001118E9">
        <w:rPr>
          <w:rFonts w:ascii="Helvetica" w:hAnsi="Helvetica" w:cs="Calibri"/>
          <w:color w:val="000000" w:themeColor="text1"/>
          <w:sz w:val="22"/>
          <w:szCs w:val="22"/>
        </w:rPr>
        <w:t xml:space="preserve">TNG wurde 1997 in Kiel gegründet und hat sich von einem regionalen Anbieter zu einem der führenden Telekommunikationsanbieter Deutschlands entwickelt. Kernkompetenz des Unternehmens ist der Ausbau echter FTTH-Netze – also 100 % Glasfaser bis in jede Wohneinheit, ohne Kompromisse bei der letzten Meile. Zudem drosselt TNG die Geschwindigkeit </w:t>
      </w:r>
      <w:r w:rsidR="00625032">
        <w:rPr>
          <w:rFonts w:ascii="Helvetica" w:hAnsi="Helvetica" w:cs="Calibri"/>
          <w:color w:val="000000" w:themeColor="text1"/>
          <w:sz w:val="22"/>
          <w:szCs w:val="22"/>
        </w:rPr>
        <w:t>in den vier</w:t>
      </w:r>
      <w:r w:rsidR="00625032" w:rsidRPr="001118E9">
        <w:rPr>
          <w:rFonts w:ascii="Helvetica" w:hAnsi="Helvetica" w:cs="Calibri"/>
          <w:color w:val="000000" w:themeColor="text1"/>
          <w:sz w:val="22"/>
          <w:szCs w:val="22"/>
        </w:rPr>
        <w:t xml:space="preserve"> </w:t>
      </w:r>
      <w:r w:rsidR="00625032">
        <w:rPr>
          <w:rFonts w:ascii="Helvetica" w:hAnsi="Helvetica" w:cs="Calibri"/>
          <w:color w:val="000000" w:themeColor="text1"/>
          <w:sz w:val="22"/>
          <w:szCs w:val="22"/>
        </w:rPr>
        <w:t>Hauptt</w:t>
      </w:r>
      <w:r w:rsidR="00625032" w:rsidRPr="001118E9">
        <w:rPr>
          <w:rFonts w:ascii="Helvetica" w:hAnsi="Helvetica" w:cs="Calibri"/>
          <w:color w:val="000000" w:themeColor="text1"/>
          <w:sz w:val="22"/>
          <w:szCs w:val="22"/>
        </w:rPr>
        <w:t>arife</w:t>
      </w:r>
      <w:r w:rsidR="00625032">
        <w:rPr>
          <w:rFonts w:ascii="Helvetica" w:hAnsi="Helvetica" w:cs="Calibri"/>
          <w:color w:val="000000" w:themeColor="text1"/>
          <w:sz w:val="22"/>
          <w:szCs w:val="22"/>
        </w:rPr>
        <w:t>n</w:t>
      </w:r>
      <w:r w:rsidR="00625032" w:rsidRPr="001118E9">
        <w:rPr>
          <w:rFonts w:ascii="Helvetica" w:hAnsi="Helvetica" w:cs="Calibri"/>
          <w:color w:val="000000" w:themeColor="text1"/>
          <w:sz w:val="22"/>
          <w:szCs w:val="22"/>
        </w:rPr>
        <w:t xml:space="preserve"> nicht</w:t>
      </w:r>
      <w:r w:rsidR="00625032">
        <w:rPr>
          <w:rFonts w:ascii="Helvetica" w:hAnsi="Helvetica" w:cs="Calibri"/>
          <w:color w:val="000000" w:themeColor="text1"/>
          <w:sz w:val="22"/>
          <w:szCs w:val="22"/>
        </w:rPr>
        <w:t xml:space="preserve"> und bietet </w:t>
      </w:r>
      <w:r w:rsidR="00625032" w:rsidRPr="001118E9">
        <w:rPr>
          <w:rFonts w:ascii="Helvetica" w:hAnsi="Helvetica" w:cs="Calibri"/>
          <w:color w:val="000000" w:themeColor="text1"/>
          <w:sz w:val="22"/>
          <w:szCs w:val="22"/>
        </w:rPr>
        <w:t>mit 1.000 Mbit/s im Download die volle Leistung des Glasfasernetzes.</w:t>
      </w:r>
      <w:r w:rsidR="00625032">
        <w:rPr>
          <w:rFonts w:ascii="Helvetica" w:hAnsi="Helvetica" w:cs="Calibri"/>
          <w:color w:val="000000" w:themeColor="text1"/>
          <w:sz w:val="22"/>
          <w:szCs w:val="22"/>
        </w:rPr>
        <w:br/>
      </w:r>
      <w:r w:rsidR="00625032">
        <w:rPr>
          <w:rFonts w:ascii="Helvetica" w:hAnsi="Helvetica" w:cs="Calibri"/>
          <w:color w:val="000000" w:themeColor="text1"/>
          <w:sz w:val="22"/>
          <w:szCs w:val="22"/>
        </w:rPr>
        <w:br/>
      </w:r>
      <w:r w:rsidR="00625032" w:rsidRPr="001118E9">
        <w:rPr>
          <w:rFonts w:ascii="Helvetica" w:hAnsi="Helvetica" w:cs="Calibri"/>
          <w:color w:val="000000" w:themeColor="text1"/>
          <w:sz w:val="22"/>
          <w:szCs w:val="22"/>
        </w:rPr>
        <w:t xml:space="preserve">Seit dem Einstieg in den Glasfaserausbau 2013 treibt TNG den Ausbau systematisch in Nord-, Mittel- und Süddeutschland voran. Als vertikal integrierter Anbieter übernimmt TNG jeden Schritt aus eigener Hand: von der Netzplanung über den Ausbau bis zum Betrieb und der Vermarktung. Dieses Modell schafft direkte Verantwortung für Qualität und Verlässlichkeit gegenüber Kommunen, Wohnungswirtschaft und </w:t>
      </w:r>
      <w:proofErr w:type="spellStart"/>
      <w:proofErr w:type="gramStart"/>
      <w:r w:rsidR="00625032" w:rsidRPr="001118E9">
        <w:rPr>
          <w:rFonts w:ascii="Helvetica" w:hAnsi="Helvetica" w:cs="Calibri"/>
          <w:color w:val="000000" w:themeColor="text1"/>
          <w:sz w:val="22"/>
          <w:szCs w:val="22"/>
        </w:rPr>
        <w:t>Endkund:innen</w:t>
      </w:r>
      <w:proofErr w:type="spellEnd"/>
      <w:proofErr w:type="gramEnd"/>
      <w:r w:rsidR="00625032" w:rsidRPr="001118E9">
        <w:rPr>
          <w:rFonts w:ascii="Helvetica" w:hAnsi="Helvetica" w:cs="Calibri"/>
          <w:color w:val="000000" w:themeColor="text1"/>
          <w:sz w:val="22"/>
          <w:szCs w:val="22"/>
        </w:rPr>
        <w:t xml:space="preserve"> gleichermaßen. Neben Glasfaserinternet umfasst das Portfolio auch Mobilfunk, TV sowie Festnetz- und VDSL-Angebote.</w:t>
      </w:r>
      <w:r w:rsidR="00625032">
        <w:rPr>
          <w:rFonts w:ascii="Helvetica" w:hAnsi="Helvetica" w:cs="Calibri"/>
          <w:color w:val="000000" w:themeColor="text1"/>
          <w:sz w:val="22"/>
          <w:szCs w:val="22"/>
        </w:rPr>
        <w:br/>
      </w:r>
      <w:r w:rsidR="00625032">
        <w:rPr>
          <w:rFonts w:ascii="Helvetica" w:hAnsi="Helvetica" w:cs="Calibri"/>
          <w:color w:val="000000" w:themeColor="text1"/>
          <w:sz w:val="22"/>
          <w:szCs w:val="22"/>
        </w:rPr>
        <w:br/>
      </w:r>
      <w:r w:rsidR="00625032" w:rsidRPr="001118E9">
        <w:rPr>
          <w:rFonts w:ascii="Helvetica" w:hAnsi="Helvetica" w:cs="Calibri"/>
          <w:color w:val="000000" w:themeColor="text1"/>
          <w:sz w:val="22"/>
          <w:szCs w:val="22"/>
        </w:rPr>
        <w:lastRenderedPageBreak/>
        <w:t xml:space="preserve">Mehr als 330 </w:t>
      </w:r>
      <w:proofErr w:type="gramStart"/>
      <w:r w:rsidR="00625032" w:rsidRPr="001118E9">
        <w:rPr>
          <w:rFonts w:ascii="Helvetica" w:hAnsi="Helvetica" w:cs="Calibri"/>
          <w:color w:val="000000" w:themeColor="text1"/>
          <w:sz w:val="22"/>
          <w:szCs w:val="22"/>
        </w:rPr>
        <w:t>Mitarbeiter:innen</w:t>
      </w:r>
      <w:proofErr w:type="gramEnd"/>
      <w:r w:rsidR="00625032" w:rsidRPr="001118E9">
        <w:rPr>
          <w:rFonts w:ascii="Helvetica" w:hAnsi="Helvetica" w:cs="Calibri"/>
          <w:color w:val="000000" w:themeColor="text1"/>
          <w:sz w:val="22"/>
          <w:szCs w:val="22"/>
        </w:rPr>
        <w:t xml:space="preserve"> an vier Standorten in Kiel und Felde (Schleswig-Holstein), Breitenbach am Herzberg (Hessen) und Aalen (Baden-Württemberg) arbeiten täglich daran, leistungsfähige Netzinfrastruktur dorthin zu bringen, wo sie gebraucht wird.</w:t>
      </w:r>
      <w:r w:rsidR="00625032">
        <w:rPr>
          <w:rFonts w:ascii="Helvetica" w:hAnsi="Helvetica" w:cs="Calibri"/>
          <w:color w:val="000000" w:themeColor="text1"/>
          <w:sz w:val="22"/>
          <w:szCs w:val="22"/>
        </w:rPr>
        <w:br/>
      </w:r>
      <w:r w:rsidR="00625032">
        <w:rPr>
          <w:rFonts w:ascii="Helvetica" w:hAnsi="Helvetica" w:cs="Calibri"/>
          <w:color w:val="000000" w:themeColor="text1"/>
          <w:sz w:val="22"/>
          <w:szCs w:val="22"/>
        </w:rPr>
        <w:br/>
      </w:r>
      <w:r w:rsidR="00625032" w:rsidRPr="001118E9">
        <w:rPr>
          <w:rFonts w:ascii="Helvetica" w:hAnsi="Helvetica" w:cs="Calibri"/>
          <w:color w:val="000000" w:themeColor="text1"/>
          <w:sz w:val="22"/>
          <w:szCs w:val="22"/>
        </w:rPr>
        <w:t xml:space="preserve">TNG ist Teil der TNG-Gruppe mit der TNG Glasfaser GmbH als Konzernmutter. Zur Gruppe gehört auch die </w:t>
      </w:r>
      <w:proofErr w:type="spellStart"/>
      <w:r w:rsidR="00625032" w:rsidRPr="001118E9">
        <w:rPr>
          <w:rFonts w:ascii="Helvetica" w:hAnsi="Helvetica" w:cs="Calibri"/>
          <w:color w:val="000000" w:themeColor="text1"/>
          <w:sz w:val="22"/>
          <w:szCs w:val="22"/>
        </w:rPr>
        <w:t>ennit</w:t>
      </w:r>
      <w:proofErr w:type="spellEnd"/>
      <w:r w:rsidR="00625032" w:rsidRPr="001118E9">
        <w:rPr>
          <w:rFonts w:ascii="Helvetica" w:hAnsi="Helvetica" w:cs="Calibri"/>
          <w:color w:val="000000" w:themeColor="text1"/>
          <w:sz w:val="22"/>
          <w:szCs w:val="22"/>
        </w:rPr>
        <w:t xml:space="preserve"> GmbH, die IT- und </w:t>
      </w:r>
      <w:proofErr w:type="spellStart"/>
      <w:r w:rsidR="00625032" w:rsidRPr="001118E9">
        <w:rPr>
          <w:rFonts w:ascii="Helvetica" w:hAnsi="Helvetica" w:cs="Calibri"/>
          <w:color w:val="000000" w:themeColor="text1"/>
          <w:sz w:val="22"/>
          <w:szCs w:val="22"/>
        </w:rPr>
        <w:t>Konnektivitätslösungen</w:t>
      </w:r>
      <w:proofErr w:type="spellEnd"/>
      <w:r w:rsidR="00625032" w:rsidRPr="001118E9">
        <w:rPr>
          <w:rFonts w:ascii="Helvetica" w:hAnsi="Helvetica" w:cs="Calibri"/>
          <w:color w:val="000000" w:themeColor="text1"/>
          <w:sz w:val="22"/>
          <w:szCs w:val="22"/>
        </w:rPr>
        <w:t xml:space="preserve"> für den Businessbereich anbiete</w:t>
      </w:r>
      <w:r w:rsidR="00DB3344">
        <w:rPr>
          <w:rFonts w:ascii="Helvetica" w:hAnsi="Helvetica" w:cs="Calibri"/>
          <w:color w:val="000000" w:themeColor="text1"/>
          <w:sz w:val="22"/>
          <w:szCs w:val="22"/>
        </w:rPr>
        <w:t xml:space="preserve">t. </w:t>
      </w:r>
    </w:p>
    <w:p w14:paraId="7698B292" w14:textId="630ECDA6" w:rsidR="009822BF" w:rsidRPr="001118E9" w:rsidRDefault="009822BF" w:rsidP="001118E9">
      <w:pPr>
        <w:pStyle w:val="paragraph"/>
        <w:spacing w:before="0" w:beforeAutospacing="0" w:after="0" w:afterAutospacing="0" w:line="360" w:lineRule="auto"/>
        <w:textAlignment w:val="baseline"/>
        <w:rPr>
          <w:rFonts w:ascii="Helvetica" w:hAnsi="Helvetica" w:cs="Calibri"/>
          <w:color w:val="000000" w:themeColor="text1"/>
          <w:sz w:val="22"/>
          <w:szCs w:val="22"/>
        </w:rPr>
      </w:pPr>
    </w:p>
    <w:p w14:paraId="154DB0BB" w14:textId="77777777" w:rsidR="00DB4C2C" w:rsidRPr="001118E9" w:rsidRDefault="00DB4C2C" w:rsidP="001118E9">
      <w:pPr>
        <w:pStyle w:val="Text"/>
        <w:jc w:val="both"/>
        <w:outlineLvl w:val="0"/>
        <w:rPr>
          <w:rFonts w:cs="Calibri"/>
          <w:b/>
          <w:bCs/>
          <w:color w:val="000000" w:themeColor="text1"/>
        </w:rPr>
      </w:pPr>
      <w:r w:rsidRPr="001118E9">
        <w:rPr>
          <w:rFonts w:cs="Calibri"/>
          <w:b/>
          <w:bCs/>
          <w:color w:val="000000" w:themeColor="text1"/>
        </w:rPr>
        <w:t>TNG Stadtnetz GmbH</w:t>
      </w:r>
      <w:r w:rsidRPr="001118E9">
        <w:rPr>
          <w:rFonts w:cs="Calibri"/>
          <w:b/>
          <w:bCs/>
          <w:color w:val="000000" w:themeColor="text1"/>
        </w:rPr>
        <w:tab/>
      </w:r>
      <w:r w:rsidRPr="001118E9">
        <w:rPr>
          <w:rFonts w:cs="Calibri"/>
          <w:b/>
          <w:bCs/>
          <w:color w:val="000000" w:themeColor="text1"/>
        </w:rPr>
        <w:tab/>
      </w:r>
      <w:r w:rsidRPr="001118E9">
        <w:rPr>
          <w:rFonts w:cs="Calibri"/>
          <w:b/>
          <w:bCs/>
          <w:color w:val="000000" w:themeColor="text1"/>
        </w:rPr>
        <w:tab/>
      </w:r>
      <w:r w:rsidRPr="001118E9">
        <w:rPr>
          <w:rFonts w:cs="Calibri"/>
          <w:b/>
          <w:bCs/>
          <w:color w:val="000000" w:themeColor="text1"/>
        </w:rPr>
        <w:tab/>
        <w:t>Pressekontakt:</w:t>
      </w:r>
    </w:p>
    <w:p w14:paraId="6081BE63" w14:textId="77777777" w:rsidR="00DB4C2C" w:rsidRPr="001118E9" w:rsidRDefault="00DB4C2C" w:rsidP="001118E9">
      <w:pPr>
        <w:pStyle w:val="Text"/>
        <w:ind w:right="0"/>
        <w:jc w:val="both"/>
        <w:outlineLvl w:val="0"/>
        <w:rPr>
          <w:rFonts w:cs="Calibri"/>
          <w:color w:val="000000" w:themeColor="text1"/>
          <w:lang w:val="en-US"/>
        </w:rPr>
      </w:pPr>
      <w:r w:rsidRPr="001118E9">
        <w:rPr>
          <w:rFonts w:cs="Calibri"/>
          <w:color w:val="000000" w:themeColor="text1"/>
        </w:rPr>
        <w:t xml:space="preserve">Gerhard-Fröhler-Str. </w:t>
      </w:r>
      <w:r w:rsidRPr="001118E9">
        <w:rPr>
          <w:rFonts w:cs="Calibri"/>
          <w:color w:val="000000" w:themeColor="text1"/>
          <w:lang w:val="en-US"/>
        </w:rPr>
        <w:t>12</w:t>
      </w:r>
      <w:r w:rsidRPr="001118E9">
        <w:rPr>
          <w:rFonts w:cs="Calibri"/>
          <w:color w:val="000000" w:themeColor="text1"/>
          <w:lang w:val="en-US"/>
        </w:rPr>
        <w:tab/>
      </w:r>
      <w:r w:rsidRPr="001118E9">
        <w:rPr>
          <w:rFonts w:cs="Calibri"/>
          <w:color w:val="000000" w:themeColor="text1"/>
          <w:lang w:val="en-US"/>
        </w:rPr>
        <w:tab/>
      </w:r>
      <w:r w:rsidRPr="001118E9">
        <w:rPr>
          <w:rFonts w:cs="Calibri"/>
          <w:color w:val="000000" w:themeColor="text1"/>
          <w:lang w:val="en-US"/>
        </w:rPr>
        <w:tab/>
      </w:r>
      <w:r w:rsidRPr="001118E9">
        <w:rPr>
          <w:rFonts w:cs="Calibri"/>
          <w:color w:val="000000" w:themeColor="text1"/>
          <w:lang w:val="en-US"/>
        </w:rPr>
        <w:tab/>
        <w:t xml:space="preserve">Bettina </w:t>
      </w:r>
      <w:proofErr w:type="spellStart"/>
      <w:r w:rsidRPr="001118E9">
        <w:rPr>
          <w:rFonts w:cs="Calibri"/>
          <w:color w:val="000000" w:themeColor="text1"/>
          <w:lang w:val="en-US"/>
        </w:rPr>
        <w:t>Büll</w:t>
      </w:r>
      <w:proofErr w:type="spellEnd"/>
      <w:r w:rsidRPr="001118E9">
        <w:rPr>
          <w:rFonts w:cs="Calibri"/>
          <w:color w:val="000000" w:themeColor="text1"/>
          <w:lang w:val="en-US"/>
        </w:rPr>
        <w:t>, Marketing</w:t>
      </w:r>
    </w:p>
    <w:p w14:paraId="79C7E901" w14:textId="719C755C" w:rsidR="00DB4C2C" w:rsidRPr="001118E9" w:rsidRDefault="00DB4C2C" w:rsidP="001118E9">
      <w:pPr>
        <w:pStyle w:val="Text"/>
        <w:jc w:val="both"/>
        <w:outlineLvl w:val="0"/>
        <w:rPr>
          <w:rFonts w:cs="Calibri"/>
          <w:color w:val="000000" w:themeColor="text1"/>
          <w:lang w:val="en-US"/>
        </w:rPr>
      </w:pPr>
      <w:r w:rsidRPr="001118E9">
        <w:rPr>
          <w:rFonts w:cs="Calibri"/>
          <w:color w:val="000000" w:themeColor="text1"/>
          <w:lang w:val="en-US"/>
        </w:rPr>
        <w:t>24106 Kiel</w:t>
      </w:r>
      <w:r w:rsidR="001E4C54" w:rsidRPr="001118E9">
        <w:rPr>
          <w:rFonts w:cs="Calibri"/>
          <w:color w:val="000000" w:themeColor="text1"/>
          <w:lang w:val="en-US"/>
        </w:rPr>
        <w:tab/>
      </w:r>
      <w:r w:rsidRPr="001118E9">
        <w:rPr>
          <w:rFonts w:cs="Calibri"/>
          <w:color w:val="000000" w:themeColor="text1"/>
          <w:lang w:val="en-US"/>
        </w:rPr>
        <w:tab/>
      </w:r>
      <w:r w:rsidRPr="001118E9">
        <w:rPr>
          <w:rFonts w:cs="Calibri"/>
          <w:color w:val="000000" w:themeColor="text1"/>
          <w:lang w:val="en-US"/>
        </w:rPr>
        <w:tab/>
      </w:r>
      <w:r w:rsidRPr="001118E9">
        <w:rPr>
          <w:rFonts w:cs="Calibri"/>
          <w:color w:val="000000" w:themeColor="text1"/>
          <w:lang w:val="en-US"/>
        </w:rPr>
        <w:tab/>
      </w:r>
      <w:r w:rsidRPr="001118E9">
        <w:rPr>
          <w:rFonts w:cs="Calibri"/>
          <w:color w:val="000000" w:themeColor="text1"/>
          <w:lang w:val="en-US"/>
        </w:rPr>
        <w:tab/>
      </w:r>
      <w:r w:rsidRPr="001118E9">
        <w:rPr>
          <w:rFonts w:cs="Calibri"/>
          <w:color w:val="000000" w:themeColor="text1"/>
          <w:lang w:val="en-US"/>
        </w:rPr>
        <w:tab/>
      </w:r>
      <w:hyperlink r:id="rId7" w:history="1">
        <w:r w:rsidRPr="001118E9">
          <w:rPr>
            <w:rStyle w:val="Hyperlink"/>
            <w:rFonts w:cs="Calibri"/>
            <w:color w:val="000000" w:themeColor="text1"/>
            <w:lang w:val="en-US"/>
          </w:rPr>
          <w:t>presse@tng.de</w:t>
        </w:r>
      </w:hyperlink>
    </w:p>
    <w:sectPr w:rsidR="00DB4C2C" w:rsidRPr="001118E9" w:rsidSect="00D304C2">
      <w:headerReference w:type="default" r:id="rId8"/>
      <w:pgSz w:w="11906" w:h="16838"/>
      <w:pgMar w:top="1134" w:right="991"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74BC13" w14:textId="77777777" w:rsidR="00752550" w:rsidRDefault="00752550">
      <w:r>
        <w:separator/>
      </w:r>
    </w:p>
  </w:endnote>
  <w:endnote w:type="continuationSeparator" w:id="0">
    <w:p w14:paraId="09FBA258" w14:textId="77777777" w:rsidR="00752550" w:rsidRDefault="00752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863A51" w14:textId="77777777" w:rsidR="00752550" w:rsidRDefault="00752550">
      <w:r>
        <w:separator/>
      </w:r>
    </w:p>
  </w:footnote>
  <w:footnote w:type="continuationSeparator" w:id="0">
    <w:p w14:paraId="2ED84FF6" w14:textId="77777777" w:rsidR="00752550" w:rsidRDefault="007525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0FE6B3" w14:textId="77777777" w:rsidR="00133BBF" w:rsidRDefault="000719E2" w:rsidP="00E53F4F">
    <w:pPr>
      <w:pStyle w:val="Kopf-undFuzeilen"/>
      <w:tabs>
        <w:tab w:val="clear" w:pos="9020"/>
        <w:tab w:val="center" w:pos="4819"/>
        <w:tab w:val="right" w:pos="9638"/>
      </w:tabs>
      <w:jc w:val="center"/>
    </w:pPr>
    <w:r>
      <w:rPr>
        <w:noProof/>
        <w:lang w:eastAsia="de-DE"/>
      </w:rPr>
      <w:drawing>
        <wp:anchor distT="0" distB="0" distL="114300" distR="114300" simplePos="0" relativeHeight="251659264" behindDoc="1" locked="0" layoutInCell="1" allowOverlap="1" wp14:anchorId="34C3CA37" wp14:editId="5631788B">
          <wp:simplePos x="0" y="0"/>
          <wp:positionH relativeFrom="column">
            <wp:posOffset>4351020</wp:posOffset>
          </wp:positionH>
          <wp:positionV relativeFrom="paragraph">
            <wp:posOffset>95250</wp:posOffset>
          </wp:positionV>
          <wp:extent cx="1763395" cy="395605"/>
          <wp:effectExtent l="0" t="0" r="8255" b="4445"/>
          <wp:wrapTight wrapText="bothSides">
            <wp:wrapPolygon edited="0">
              <wp:start x="0" y="0"/>
              <wp:lineTo x="0" y="20803"/>
              <wp:lineTo x="21468" y="20803"/>
              <wp:lineTo x="21468" y="0"/>
              <wp:lineTo x="0" y="0"/>
            </wp:wrapPolygon>
          </wp:wrapTight>
          <wp:docPr id="1" name="officeArt object" descr="Ein Bild, das ClipAr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073741826" name="pasted-image.tif"/>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763395" cy="395605"/>
                  </a:xfrm>
                  <a:prstGeom prst="rect">
                    <a:avLst/>
                  </a:prstGeom>
                  <a:ln w="12700" cap="flat">
                    <a:noFill/>
                    <a:miter lim="400000"/>
                  </a:ln>
                  <a:effectLst/>
                </pic:spPr>
              </pic:pic>
            </a:graphicData>
          </a:graphic>
          <wp14:sizeRelH relativeFrom="page">
            <wp14:pctWidth>0</wp14:pctWidth>
          </wp14:sizeRelH>
          <wp14:sizeRelV relativeFrom="page">
            <wp14:pctHeight>0</wp14:pctHeight>
          </wp14:sizeRelV>
        </wp:anchor>
      </w:drawing>
    </w:r>
  </w:p>
  <w:p w14:paraId="2E124B80" w14:textId="77777777" w:rsidR="00133BBF" w:rsidRDefault="00133BBF" w:rsidP="00276388">
    <w:pPr>
      <w:pStyle w:val="Kopf-undFuzeilen"/>
      <w:tabs>
        <w:tab w:val="clear" w:pos="9020"/>
        <w:tab w:val="center" w:pos="4819"/>
        <w:tab w:val="right" w:pos="9638"/>
      </w:tabs>
      <w:jc w:val="right"/>
    </w:pPr>
  </w:p>
  <w:p w14:paraId="0EE74B9D" w14:textId="77777777" w:rsidR="00133BBF" w:rsidRDefault="00133BBF" w:rsidP="00E53F4F">
    <w:pPr>
      <w:pStyle w:val="Kopf-undFuzeilen"/>
      <w:tabs>
        <w:tab w:val="clear" w:pos="9020"/>
        <w:tab w:val="center" w:pos="4819"/>
        <w:tab w:val="left" w:pos="8280"/>
        <w:tab w:val="right" w:pos="9638"/>
      </w:tabs>
    </w:pPr>
  </w:p>
  <w:p w14:paraId="5A4C7EE8" w14:textId="77777777" w:rsidR="00133BBF" w:rsidRDefault="00133BBF" w:rsidP="00276388">
    <w:pPr>
      <w:pStyle w:val="Kopf-undFuzeilen"/>
      <w:tabs>
        <w:tab w:val="clear" w:pos="9020"/>
        <w:tab w:val="center" w:pos="4819"/>
        <w:tab w:val="left" w:pos="8280"/>
        <w:tab w:val="right" w:pos="9638"/>
      </w:tabs>
      <w:jc w:val="right"/>
    </w:pPr>
  </w:p>
  <w:p w14:paraId="43AD5EF3" w14:textId="77777777" w:rsidR="00133BBF" w:rsidRDefault="00133BBF" w:rsidP="00276388">
    <w:pPr>
      <w:pStyle w:val="Kopf-undFuzeilen"/>
      <w:tabs>
        <w:tab w:val="clear" w:pos="9020"/>
        <w:tab w:val="center" w:pos="4819"/>
        <w:tab w:val="left" w:pos="8280"/>
        <w:tab w:val="right" w:pos="9638"/>
      </w:tabs>
      <w:jc w:val="right"/>
    </w:pPr>
  </w:p>
  <w:p w14:paraId="6D2073DB" w14:textId="77777777" w:rsidR="00133BBF" w:rsidRDefault="00133BBF" w:rsidP="00276388">
    <w:pPr>
      <w:pStyle w:val="Kopf-undFuzeilen"/>
      <w:tabs>
        <w:tab w:val="clear" w:pos="9020"/>
        <w:tab w:val="center" w:pos="4819"/>
        <w:tab w:val="right" w:pos="9638"/>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F46ECC"/>
    <w:multiLevelType w:val="hybridMultilevel"/>
    <w:tmpl w:val="1D8013A8"/>
    <w:lvl w:ilvl="0" w:tplc="04070001">
      <w:start w:val="1"/>
      <w:numFmt w:val="bullet"/>
      <w:lvlText w:val=""/>
      <w:lvlJc w:val="left"/>
      <w:pPr>
        <w:ind w:left="720" w:hanging="360"/>
      </w:pPr>
      <w:rPr>
        <w:rFonts w:ascii="Symbol" w:hAnsi="Symbol"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7F12E93"/>
    <w:multiLevelType w:val="hybridMultilevel"/>
    <w:tmpl w:val="9620E4A4"/>
    <w:lvl w:ilvl="0" w:tplc="8410D428">
      <w:start w:val="7"/>
      <w:numFmt w:val="bullet"/>
      <w:lvlText w:val="-"/>
      <w:lvlJc w:val="left"/>
      <w:pPr>
        <w:ind w:left="720" w:hanging="360"/>
      </w:pPr>
      <w:rPr>
        <w:rFonts w:ascii="Helvetica" w:eastAsia="Arial" w:hAnsi="Helvetica" w:cs="Calibri"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EEC7516"/>
    <w:multiLevelType w:val="hybridMultilevel"/>
    <w:tmpl w:val="C77A36CC"/>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26E2908"/>
    <w:multiLevelType w:val="hybridMultilevel"/>
    <w:tmpl w:val="DD7A40F4"/>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3AE7132"/>
    <w:multiLevelType w:val="hybridMultilevel"/>
    <w:tmpl w:val="B944FAAC"/>
    <w:lvl w:ilvl="0" w:tplc="A04628CE">
      <w:numFmt w:val="bullet"/>
      <w:lvlText w:val="-"/>
      <w:lvlJc w:val="left"/>
      <w:pPr>
        <w:ind w:left="720" w:hanging="360"/>
      </w:pPr>
      <w:rPr>
        <w:rFonts w:ascii="Helvetica" w:eastAsia="Times New Roman" w:hAnsi="Helvetica"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50772757">
    <w:abstractNumId w:val="4"/>
  </w:num>
  <w:num w:numId="2" w16cid:durableId="1209533081">
    <w:abstractNumId w:val="3"/>
  </w:num>
  <w:num w:numId="3" w16cid:durableId="276759977">
    <w:abstractNumId w:val="1"/>
  </w:num>
  <w:num w:numId="4" w16cid:durableId="1443838876">
    <w:abstractNumId w:val="0"/>
  </w:num>
  <w:num w:numId="5" w16cid:durableId="60007219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C2C"/>
    <w:rsid w:val="00001FF1"/>
    <w:rsid w:val="00022DB9"/>
    <w:rsid w:val="00036A4C"/>
    <w:rsid w:val="00037070"/>
    <w:rsid w:val="000375BA"/>
    <w:rsid w:val="00043035"/>
    <w:rsid w:val="00060DD0"/>
    <w:rsid w:val="0007197F"/>
    <w:rsid w:val="000719E2"/>
    <w:rsid w:val="000749B2"/>
    <w:rsid w:val="00075DE9"/>
    <w:rsid w:val="00076204"/>
    <w:rsid w:val="00080945"/>
    <w:rsid w:val="000930AB"/>
    <w:rsid w:val="00094B3D"/>
    <w:rsid w:val="00096195"/>
    <w:rsid w:val="000A6C46"/>
    <w:rsid w:val="000B6039"/>
    <w:rsid w:val="000D3152"/>
    <w:rsid w:val="000E060A"/>
    <w:rsid w:val="000E37E5"/>
    <w:rsid w:val="000F3183"/>
    <w:rsid w:val="000F7112"/>
    <w:rsid w:val="000F7350"/>
    <w:rsid w:val="0010020A"/>
    <w:rsid w:val="00101083"/>
    <w:rsid w:val="0010202F"/>
    <w:rsid w:val="001118E9"/>
    <w:rsid w:val="00133382"/>
    <w:rsid w:val="00133BBF"/>
    <w:rsid w:val="00135690"/>
    <w:rsid w:val="00135A4E"/>
    <w:rsid w:val="00146183"/>
    <w:rsid w:val="00146C6E"/>
    <w:rsid w:val="00157396"/>
    <w:rsid w:val="00176101"/>
    <w:rsid w:val="00181409"/>
    <w:rsid w:val="00182A54"/>
    <w:rsid w:val="001C3854"/>
    <w:rsid w:val="001D2E7B"/>
    <w:rsid w:val="001D31A2"/>
    <w:rsid w:val="001D6842"/>
    <w:rsid w:val="001E2FCD"/>
    <w:rsid w:val="001E48C4"/>
    <w:rsid w:val="001E4C54"/>
    <w:rsid w:val="001F5153"/>
    <w:rsid w:val="001F6924"/>
    <w:rsid w:val="00207DA0"/>
    <w:rsid w:val="0024097A"/>
    <w:rsid w:val="00245234"/>
    <w:rsid w:val="0024593A"/>
    <w:rsid w:val="00252B42"/>
    <w:rsid w:val="00253530"/>
    <w:rsid w:val="00272B81"/>
    <w:rsid w:val="00281EC5"/>
    <w:rsid w:val="002834D7"/>
    <w:rsid w:val="00295D6E"/>
    <w:rsid w:val="002A3FD5"/>
    <w:rsid w:val="002C215C"/>
    <w:rsid w:val="002C275C"/>
    <w:rsid w:val="002D3899"/>
    <w:rsid w:val="002E0C17"/>
    <w:rsid w:val="002E1256"/>
    <w:rsid w:val="00301BB2"/>
    <w:rsid w:val="00316B21"/>
    <w:rsid w:val="00317E5F"/>
    <w:rsid w:val="00327E23"/>
    <w:rsid w:val="0034410A"/>
    <w:rsid w:val="003559F8"/>
    <w:rsid w:val="003623D4"/>
    <w:rsid w:val="00383601"/>
    <w:rsid w:val="003870BE"/>
    <w:rsid w:val="003B2F89"/>
    <w:rsid w:val="003C5803"/>
    <w:rsid w:val="003D2FF2"/>
    <w:rsid w:val="003D37CA"/>
    <w:rsid w:val="004001EE"/>
    <w:rsid w:val="0042003C"/>
    <w:rsid w:val="004217FE"/>
    <w:rsid w:val="00426EDE"/>
    <w:rsid w:val="00444B77"/>
    <w:rsid w:val="004666DC"/>
    <w:rsid w:val="0047072F"/>
    <w:rsid w:val="00471B79"/>
    <w:rsid w:val="004A107A"/>
    <w:rsid w:val="004A5557"/>
    <w:rsid w:val="004B73CA"/>
    <w:rsid w:val="004C1EEE"/>
    <w:rsid w:val="004D3DC3"/>
    <w:rsid w:val="004D546C"/>
    <w:rsid w:val="004E1C7D"/>
    <w:rsid w:val="004E68D0"/>
    <w:rsid w:val="0050435C"/>
    <w:rsid w:val="00512DE4"/>
    <w:rsid w:val="0053216D"/>
    <w:rsid w:val="00532D2A"/>
    <w:rsid w:val="00535431"/>
    <w:rsid w:val="005360C2"/>
    <w:rsid w:val="00536659"/>
    <w:rsid w:val="0054091F"/>
    <w:rsid w:val="00542366"/>
    <w:rsid w:val="005542CD"/>
    <w:rsid w:val="00563618"/>
    <w:rsid w:val="00565177"/>
    <w:rsid w:val="00595608"/>
    <w:rsid w:val="005A2C4E"/>
    <w:rsid w:val="005C5B6C"/>
    <w:rsid w:val="005C7BBA"/>
    <w:rsid w:val="005D6C11"/>
    <w:rsid w:val="005E68F0"/>
    <w:rsid w:val="005F583D"/>
    <w:rsid w:val="00610E98"/>
    <w:rsid w:val="00612047"/>
    <w:rsid w:val="00625032"/>
    <w:rsid w:val="006414C2"/>
    <w:rsid w:val="006510FD"/>
    <w:rsid w:val="00660177"/>
    <w:rsid w:val="00670DE0"/>
    <w:rsid w:val="0068065D"/>
    <w:rsid w:val="00681A6D"/>
    <w:rsid w:val="0068308B"/>
    <w:rsid w:val="00684638"/>
    <w:rsid w:val="00686503"/>
    <w:rsid w:val="0068740F"/>
    <w:rsid w:val="006921CD"/>
    <w:rsid w:val="006A695A"/>
    <w:rsid w:val="006B1106"/>
    <w:rsid w:val="006B19A0"/>
    <w:rsid w:val="006B464F"/>
    <w:rsid w:val="006B6FE7"/>
    <w:rsid w:val="006D60B6"/>
    <w:rsid w:val="006E69AF"/>
    <w:rsid w:val="006F4C78"/>
    <w:rsid w:val="00703CD8"/>
    <w:rsid w:val="00706638"/>
    <w:rsid w:val="00717272"/>
    <w:rsid w:val="00724DA4"/>
    <w:rsid w:val="00727D90"/>
    <w:rsid w:val="00727EFD"/>
    <w:rsid w:val="007307DE"/>
    <w:rsid w:val="0073213A"/>
    <w:rsid w:val="007345B8"/>
    <w:rsid w:val="00741333"/>
    <w:rsid w:val="007418AF"/>
    <w:rsid w:val="00746A58"/>
    <w:rsid w:val="00752550"/>
    <w:rsid w:val="007637BB"/>
    <w:rsid w:val="00771CC1"/>
    <w:rsid w:val="007748C1"/>
    <w:rsid w:val="00775EE7"/>
    <w:rsid w:val="00796C26"/>
    <w:rsid w:val="007C3EB5"/>
    <w:rsid w:val="007E29B6"/>
    <w:rsid w:val="007F0C4A"/>
    <w:rsid w:val="007F2B1C"/>
    <w:rsid w:val="007F2DD5"/>
    <w:rsid w:val="00804E38"/>
    <w:rsid w:val="00825A7F"/>
    <w:rsid w:val="00836000"/>
    <w:rsid w:val="008409D4"/>
    <w:rsid w:val="0084182C"/>
    <w:rsid w:val="00843646"/>
    <w:rsid w:val="00871161"/>
    <w:rsid w:val="008B575E"/>
    <w:rsid w:val="008C1209"/>
    <w:rsid w:val="008C6D6A"/>
    <w:rsid w:val="008E6DC7"/>
    <w:rsid w:val="008E73FC"/>
    <w:rsid w:val="008F0099"/>
    <w:rsid w:val="0092173B"/>
    <w:rsid w:val="0092411A"/>
    <w:rsid w:val="00930CE9"/>
    <w:rsid w:val="009358DD"/>
    <w:rsid w:val="009400BD"/>
    <w:rsid w:val="0094024C"/>
    <w:rsid w:val="0095434C"/>
    <w:rsid w:val="009649CD"/>
    <w:rsid w:val="00965805"/>
    <w:rsid w:val="00966E78"/>
    <w:rsid w:val="00970CCB"/>
    <w:rsid w:val="0097735E"/>
    <w:rsid w:val="009822BF"/>
    <w:rsid w:val="009B30F3"/>
    <w:rsid w:val="009B753B"/>
    <w:rsid w:val="009E61A0"/>
    <w:rsid w:val="009F07D3"/>
    <w:rsid w:val="009F447E"/>
    <w:rsid w:val="00A06EF8"/>
    <w:rsid w:val="00A14EA3"/>
    <w:rsid w:val="00A21DDE"/>
    <w:rsid w:val="00A337AA"/>
    <w:rsid w:val="00A41C1B"/>
    <w:rsid w:val="00A45664"/>
    <w:rsid w:val="00A530EC"/>
    <w:rsid w:val="00A722E6"/>
    <w:rsid w:val="00A84379"/>
    <w:rsid w:val="00AA2D50"/>
    <w:rsid w:val="00AB5F84"/>
    <w:rsid w:val="00AF2B47"/>
    <w:rsid w:val="00B01875"/>
    <w:rsid w:val="00B14432"/>
    <w:rsid w:val="00B23E6F"/>
    <w:rsid w:val="00B24843"/>
    <w:rsid w:val="00B30A77"/>
    <w:rsid w:val="00B341DB"/>
    <w:rsid w:val="00B34674"/>
    <w:rsid w:val="00B406AB"/>
    <w:rsid w:val="00B456CB"/>
    <w:rsid w:val="00B53C0C"/>
    <w:rsid w:val="00B73B27"/>
    <w:rsid w:val="00B95295"/>
    <w:rsid w:val="00BA3F66"/>
    <w:rsid w:val="00BA568C"/>
    <w:rsid w:val="00BA7F64"/>
    <w:rsid w:val="00BB0DE0"/>
    <w:rsid w:val="00BB34C5"/>
    <w:rsid w:val="00BC1EA1"/>
    <w:rsid w:val="00BC3A7B"/>
    <w:rsid w:val="00BE7FCD"/>
    <w:rsid w:val="00C0708C"/>
    <w:rsid w:val="00C11052"/>
    <w:rsid w:val="00C2690C"/>
    <w:rsid w:val="00C378C4"/>
    <w:rsid w:val="00C40AA0"/>
    <w:rsid w:val="00C56BBE"/>
    <w:rsid w:val="00C60590"/>
    <w:rsid w:val="00C62E7B"/>
    <w:rsid w:val="00C66318"/>
    <w:rsid w:val="00C67A14"/>
    <w:rsid w:val="00C7096F"/>
    <w:rsid w:val="00C80202"/>
    <w:rsid w:val="00C82E9D"/>
    <w:rsid w:val="00C913CA"/>
    <w:rsid w:val="00CD238C"/>
    <w:rsid w:val="00CE2B4D"/>
    <w:rsid w:val="00CE4062"/>
    <w:rsid w:val="00CF1FA9"/>
    <w:rsid w:val="00CF35FC"/>
    <w:rsid w:val="00CF5CCA"/>
    <w:rsid w:val="00CF656E"/>
    <w:rsid w:val="00D10832"/>
    <w:rsid w:val="00D10957"/>
    <w:rsid w:val="00D15E62"/>
    <w:rsid w:val="00D20EB7"/>
    <w:rsid w:val="00D23F1E"/>
    <w:rsid w:val="00D301F7"/>
    <w:rsid w:val="00D304C2"/>
    <w:rsid w:val="00D42061"/>
    <w:rsid w:val="00D448B4"/>
    <w:rsid w:val="00D45F34"/>
    <w:rsid w:val="00D46A6B"/>
    <w:rsid w:val="00D51DD7"/>
    <w:rsid w:val="00D545B6"/>
    <w:rsid w:val="00D738E5"/>
    <w:rsid w:val="00D92503"/>
    <w:rsid w:val="00DB3344"/>
    <w:rsid w:val="00DB4C2C"/>
    <w:rsid w:val="00DC7345"/>
    <w:rsid w:val="00DD4418"/>
    <w:rsid w:val="00DD7159"/>
    <w:rsid w:val="00E14CD7"/>
    <w:rsid w:val="00E21178"/>
    <w:rsid w:val="00E2122C"/>
    <w:rsid w:val="00E2309F"/>
    <w:rsid w:val="00E27F31"/>
    <w:rsid w:val="00E316E3"/>
    <w:rsid w:val="00E40902"/>
    <w:rsid w:val="00E476F2"/>
    <w:rsid w:val="00E50CD2"/>
    <w:rsid w:val="00E56DAE"/>
    <w:rsid w:val="00E61042"/>
    <w:rsid w:val="00E662E4"/>
    <w:rsid w:val="00E71690"/>
    <w:rsid w:val="00E830EC"/>
    <w:rsid w:val="00E857D5"/>
    <w:rsid w:val="00EB1DAC"/>
    <w:rsid w:val="00EB4311"/>
    <w:rsid w:val="00EB4C57"/>
    <w:rsid w:val="00EE7AAC"/>
    <w:rsid w:val="00EF5E7B"/>
    <w:rsid w:val="00EF61CA"/>
    <w:rsid w:val="00F06E4C"/>
    <w:rsid w:val="00F21082"/>
    <w:rsid w:val="00F42331"/>
    <w:rsid w:val="00F42F54"/>
    <w:rsid w:val="00F7725C"/>
    <w:rsid w:val="00F87124"/>
    <w:rsid w:val="00FA1789"/>
    <w:rsid w:val="00FA490E"/>
    <w:rsid w:val="00FC7559"/>
    <w:rsid w:val="00FD0481"/>
    <w:rsid w:val="00FE1D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D9502"/>
  <w15:chartTrackingRefBased/>
  <w15:docId w15:val="{A76D9763-8553-9046-B574-3CECDF43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B4C2C"/>
    <w:rPr>
      <w:rFonts w:ascii="Times New Roman" w:eastAsia="Times New Roman" w:hAnsi="Times New Roman" w:cs="Times New Roman"/>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DB4C2C"/>
    <w:rPr>
      <w:u w:val="single"/>
    </w:rPr>
  </w:style>
  <w:style w:type="paragraph" w:customStyle="1" w:styleId="Kopf-undFuzeilen">
    <w:name w:val="Kopf- und Fußzeilen"/>
    <w:rsid w:val="00DB4C2C"/>
    <w:pPr>
      <w:pBdr>
        <w:top w:val="nil"/>
        <w:left w:val="nil"/>
        <w:bottom w:val="nil"/>
        <w:right w:val="nil"/>
        <w:between w:val="nil"/>
        <w:bar w:val="nil"/>
      </w:pBdr>
      <w:tabs>
        <w:tab w:val="right" w:pos="9020"/>
      </w:tabs>
    </w:pPr>
    <w:rPr>
      <w:rFonts w:ascii="Helvetica" w:eastAsia="Arial Unicode MS" w:hAnsi="Helvetica" w:cs="Arial Unicode MS"/>
      <w:color w:val="000000"/>
      <w:bdr w:val="nil"/>
    </w:rPr>
  </w:style>
  <w:style w:type="paragraph" w:customStyle="1" w:styleId="Text">
    <w:name w:val="Text"/>
    <w:rsid w:val="00DB4C2C"/>
    <w:pPr>
      <w:pBdr>
        <w:top w:val="nil"/>
        <w:left w:val="nil"/>
        <w:bottom w:val="nil"/>
        <w:right w:val="nil"/>
        <w:between w:val="nil"/>
        <w:bar w:val="nil"/>
      </w:pBdr>
      <w:spacing w:line="360" w:lineRule="auto"/>
      <w:ind w:right="2835"/>
    </w:pPr>
    <w:rPr>
      <w:rFonts w:ascii="Helvetica" w:eastAsia="Arial Unicode MS" w:hAnsi="Helvetica" w:cs="Arial Unicode MS"/>
      <w:color w:val="000000"/>
      <w:sz w:val="22"/>
      <w:szCs w:val="22"/>
      <w:bdr w:val="nil"/>
    </w:rPr>
  </w:style>
  <w:style w:type="paragraph" w:customStyle="1" w:styleId="p1">
    <w:name w:val="p1"/>
    <w:basedOn w:val="Standard"/>
    <w:rsid w:val="00DB4C2C"/>
    <w:pPr>
      <w:spacing w:before="100" w:beforeAutospacing="1" w:after="100" w:afterAutospacing="1"/>
    </w:pPr>
  </w:style>
  <w:style w:type="character" w:customStyle="1" w:styleId="s1">
    <w:name w:val="s1"/>
    <w:basedOn w:val="Absatz-Standardschriftart"/>
    <w:rsid w:val="00DB4C2C"/>
  </w:style>
  <w:style w:type="character" w:customStyle="1" w:styleId="NichtaufgelsteErwhnung1">
    <w:name w:val="Nicht aufgelöste Erwähnung1"/>
    <w:basedOn w:val="Absatz-Standardschriftart"/>
    <w:uiPriority w:val="99"/>
    <w:semiHidden/>
    <w:unhideWhenUsed/>
    <w:rsid w:val="00DB4C2C"/>
    <w:rPr>
      <w:color w:val="605E5C"/>
      <w:shd w:val="clear" w:color="auto" w:fill="E1DFDD"/>
    </w:rPr>
  </w:style>
  <w:style w:type="paragraph" w:styleId="Listenabsatz">
    <w:name w:val="List Paragraph"/>
    <w:basedOn w:val="Standard"/>
    <w:qFormat/>
    <w:rsid w:val="003D37CA"/>
    <w:pPr>
      <w:ind w:left="720"/>
      <w:contextualSpacing/>
    </w:pPr>
  </w:style>
  <w:style w:type="character" w:styleId="Kommentarzeichen">
    <w:name w:val="annotation reference"/>
    <w:basedOn w:val="Absatz-Standardschriftart"/>
    <w:uiPriority w:val="99"/>
    <w:semiHidden/>
    <w:unhideWhenUsed/>
    <w:rsid w:val="007637BB"/>
    <w:rPr>
      <w:sz w:val="16"/>
      <w:szCs w:val="16"/>
    </w:rPr>
  </w:style>
  <w:style w:type="paragraph" w:styleId="Kommentartext">
    <w:name w:val="annotation text"/>
    <w:basedOn w:val="Standard"/>
    <w:link w:val="KommentartextZchn"/>
    <w:uiPriority w:val="99"/>
    <w:semiHidden/>
    <w:unhideWhenUsed/>
    <w:rsid w:val="007637BB"/>
    <w:rPr>
      <w:sz w:val="20"/>
      <w:szCs w:val="20"/>
    </w:rPr>
  </w:style>
  <w:style w:type="character" w:customStyle="1" w:styleId="KommentartextZchn">
    <w:name w:val="Kommentartext Zchn"/>
    <w:basedOn w:val="Absatz-Standardschriftart"/>
    <w:link w:val="Kommentartext"/>
    <w:uiPriority w:val="99"/>
    <w:semiHidden/>
    <w:rsid w:val="007637BB"/>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7637BB"/>
    <w:rPr>
      <w:b/>
      <w:bCs/>
    </w:rPr>
  </w:style>
  <w:style w:type="character" w:customStyle="1" w:styleId="KommentarthemaZchn">
    <w:name w:val="Kommentarthema Zchn"/>
    <w:basedOn w:val="KommentartextZchn"/>
    <w:link w:val="Kommentarthema"/>
    <w:uiPriority w:val="99"/>
    <w:semiHidden/>
    <w:rsid w:val="007637BB"/>
    <w:rPr>
      <w:rFonts w:ascii="Times New Roman" w:eastAsia="Times New Roman" w:hAnsi="Times New Roman" w:cs="Times New Roman"/>
      <w:b/>
      <w:bCs/>
      <w:sz w:val="20"/>
      <w:szCs w:val="20"/>
      <w:lang w:eastAsia="de-DE"/>
    </w:rPr>
  </w:style>
  <w:style w:type="character" w:styleId="BesuchterLink">
    <w:name w:val="FollowedHyperlink"/>
    <w:basedOn w:val="Absatz-Standardschriftart"/>
    <w:uiPriority w:val="99"/>
    <w:semiHidden/>
    <w:unhideWhenUsed/>
    <w:rsid w:val="002E0C17"/>
    <w:rPr>
      <w:color w:val="954F72" w:themeColor="followedHyperlink"/>
      <w:u w:val="single"/>
    </w:rPr>
  </w:style>
  <w:style w:type="paragraph" w:styleId="StandardWeb">
    <w:name w:val="Normal (Web)"/>
    <w:basedOn w:val="Standard"/>
    <w:uiPriority w:val="99"/>
    <w:unhideWhenUsed/>
    <w:rsid w:val="00965805"/>
    <w:pPr>
      <w:spacing w:before="100" w:beforeAutospacing="1" w:after="100" w:afterAutospacing="1"/>
    </w:pPr>
  </w:style>
  <w:style w:type="paragraph" w:styleId="berarbeitung">
    <w:name w:val="Revision"/>
    <w:hidden/>
    <w:uiPriority w:val="99"/>
    <w:semiHidden/>
    <w:rsid w:val="00E50CD2"/>
    <w:rPr>
      <w:rFonts w:ascii="Times New Roman" w:eastAsia="Times New Roman" w:hAnsi="Times New Roman" w:cs="Times New Roman"/>
      <w:lang w:eastAsia="de-DE"/>
    </w:rPr>
  </w:style>
  <w:style w:type="character" w:customStyle="1" w:styleId="apple-converted-space">
    <w:name w:val="apple-converted-space"/>
    <w:basedOn w:val="Absatz-Standardschriftart"/>
    <w:rsid w:val="007E29B6"/>
  </w:style>
  <w:style w:type="character" w:styleId="Fett">
    <w:name w:val="Strong"/>
    <w:basedOn w:val="Absatz-Standardschriftart"/>
    <w:uiPriority w:val="22"/>
    <w:qFormat/>
    <w:rsid w:val="006B19A0"/>
    <w:rPr>
      <w:b/>
      <w:bCs/>
    </w:rPr>
  </w:style>
  <w:style w:type="paragraph" w:customStyle="1" w:styleId="paragraph">
    <w:name w:val="paragraph"/>
    <w:basedOn w:val="Standard"/>
    <w:rsid w:val="00182A54"/>
    <w:pPr>
      <w:spacing w:before="100" w:beforeAutospacing="1" w:after="100" w:afterAutospacing="1"/>
    </w:pPr>
  </w:style>
  <w:style w:type="character" w:customStyle="1" w:styleId="normaltextrun">
    <w:name w:val="normaltextrun"/>
    <w:basedOn w:val="Absatz-Standardschriftart"/>
    <w:rsid w:val="00182A54"/>
  </w:style>
  <w:style w:type="character" w:customStyle="1" w:styleId="eop">
    <w:name w:val="eop"/>
    <w:basedOn w:val="Absatz-Standardschriftart"/>
    <w:rsid w:val="00182A54"/>
  </w:style>
  <w:style w:type="paragraph" w:styleId="KeinLeerraum">
    <w:name w:val="No Spacing"/>
    <w:uiPriority w:val="1"/>
    <w:qFormat/>
    <w:rsid w:val="00471B79"/>
    <w:rPr>
      <w:kern w:val="2"/>
      <w14:ligatures w14:val="standardContextual"/>
    </w:rPr>
  </w:style>
  <w:style w:type="paragraph" w:customStyle="1" w:styleId="font-claude-response-body">
    <w:name w:val="font-claude-response-body"/>
    <w:basedOn w:val="Standard"/>
    <w:rsid w:val="00717272"/>
    <w:pPr>
      <w:spacing w:before="100" w:beforeAutospacing="1" w:after="100" w:afterAutospacing="1"/>
    </w:pPr>
  </w:style>
  <w:style w:type="paragraph" w:customStyle="1" w:styleId="whitespace-pre-wrap">
    <w:name w:val="whitespace-pre-wrap"/>
    <w:basedOn w:val="Standard"/>
    <w:rsid w:val="00FA178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9422951">
      <w:bodyDiv w:val="1"/>
      <w:marLeft w:val="0"/>
      <w:marRight w:val="0"/>
      <w:marTop w:val="0"/>
      <w:marBottom w:val="0"/>
      <w:divBdr>
        <w:top w:val="none" w:sz="0" w:space="0" w:color="auto"/>
        <w:left w:val="none" w:sz="0" w:space="0" w:color="auto"/>
        <w:bottom w:val="none" w:sz="0" w:space="0" w:color="auto"/>
        <w:right w:val="none" w:sz="0" w:space="0" w:color="auto"/>
      </w:divBdr>
    </w:div>
    <w:div w:id="631247795">
      <w:bodyDiv w:val="1"/>
      <w:marLeft w:val="0"/>
      <w:marRight w:val="0"/>
      <w:marTop w:val="0"/>
      <w:marBottom w:val="0"/>
      <w:divBdr>
        <w:top w:val="none" w:sz="0" w:space="0" w:color="auto"/>
        <w:left w:val="none" w:sz="0" w:space="0" w:color="auto"/>
        <w:bottom w:val="none" w:sz="0" w:space="0" w:color="auto"/>
        <w:right w:val="none" w:sz="0" w:space="0" w:color="auto"/>
      </w:divBdr>
    </w:div>
    <w:div w:id="794759580">
      <w:bodyDiv w:val="1"/>
      <w:marLeft w:val="0"/>
      <w:marRight w:val="0"/>
      <w:marTop w:val="0"/>
      <w:marBottom w:val="0"/>
      <w:divBdr>
        <w:top w:val="none" w:sz="0" w:space="0" w:color="auto"/>
        <w:left w:val="none" w:sz="0" w:space="0" w:color="auto"/>
        <w:bottom w:val="none" w:sz="0" w:space="0" w:color="auto"/>
        <w:right w:val="none" w:sz="0" w:space="0" w:color="auto"/>
      </w:divBdr>
    </w:div>
    <w:div w:id="1533230368">
      <w:bodyDiv w:val="1"/>
      <w:marLeft w:val="0"/>
      <w:marRight w:val="0"/>
      <w:marTop w:val="0"/>
      <w:marBottom w:val="0"/>
      <w:divBdr>
        <w:top w:val="none" w:sz="0" w:space="0" w:color="auto"/>
        <w:left w:val="none" w:sz="0" w:space="0" w:color="auto"/>
        <w:bottom w:val="none" w:sz="0" w:space="0" w:color="auto"/>
        <w:right w:val="none" w:sz="0" w:space="0" w:color="auto"/>
      </w:divBdr>
    </w:div>
    <w:div w:id="1584144254">
      <w:bodyDiv w:val="1"/>
      <w:marLeft w:val="0"/>
      <w:marRight w:val="0"/>
      <w:marTop w:val="0"/>
      <w:marBottom w:val="0"/>
      <w:divBdr>
        <w:top w:val="none" w:sz="0" w:space="0" w:color="auto"/>
        <w:left w:val="none" w:sz="0" w:space="0" w:color="auto"/>
        <w:bottom w:val="none" w:sz="0" w:space="0" w:color="auto"/>
        <w:right w:val="none" w:sz="0" w:space="0" w:color="auto"/>
      </w:divBdr>
      <w:divsChild>
        <w:div w:id="1193304822">
          <w:marLeft w:val="0"/>
          <w:marRight w:val="0"/>
          <w:marTop w:val="0"/>
          <w:marBottom w:val="0"/>
          <w:divBdr>
            <w:top w:val="none" w:sz="0" w:space="0" w:color="auto"/>
            <w:left w:val="none" w:sz="0" w:space="0" w:color="auto"/>
            <w:bottom w:val="none" w:sz="0" w:space="0" w:color="auto"/>
            <w:right w:val="none" w:sz="0" w:space="0" w:color="auto"/>
          </w:divBdr>
        </w:div>
        <w:div w:id="493959385">
          <w:marLeft w:val="0"/>
          <w:marRight w:val="0"/>
          <w:marTop w:val="0"/>
          <w:marBottom w:val="0"/>
          <w:divBdr>
            <w:top w:val="none" w:sz="0" w:space="0" w:color="auto"/>
            <w:left w:val="none" w:sz="0" w:space="0" w:color="auto"/>
            <w:bottom w:val="none" w:sz="0" w:space="0" w:color="auto"/>
            <w:right w:val="none" w:sz="0" w:space="0" w:color="auto"/>
          </w:divBdr>
        </w:div>
        <w:div w:id="1709336748">
          <w:marLeft w:val="0"/>
          <w:marRight w:val="0"/>
          <w:marTop w:val="0"/>
          <w:marBottom w:val="0"/>
          <w:divBdr>
            <w:top w:val="none" w:sz="0" w:space="0" w:color="auto"/>
            <w:left w:val="none" w:sz="0" w:space="0" w:color="auto"/>
            <w:bottom w:val="none" w:sz="0" w:space="0" w:color="auto"/>
            <w:right w:val="none" w:sz="0" w:space="0" w:color="auto"/>
          </w:divBdr>
        </w:div>
        <w:div w:id="897280073">
          <w:marLeft w:val="0"/>
          <w:marRight w:val="0"/>
          <w:marTop w:val="0"/>
          <w:marBottom w:val="0"/>
          <w:divBdr>
            <w:top w:val="none" w:sz="0" w:space="0" w:color="auto"/>
            <w:left w:val="none" w:sz="0" w:space="0" w:color="auto"/>
            <w:bottom w:val="none" w:sz="0" w:space="0" w:color="auto"/>
            <w:right w:val="none" w:sz="0" w:space="0" w:color="auto"/>
          </w:divBdr>
        </w:div>
        <w:div w:id="1443649810">
          <w:marLeft w:val="0"/>
          <w:marRight w:val="0"/>
          <w:marTop w:val="0"/>
          <w:marBottom w:val="0"/>
          <w:divBdr>
            <w:top w:val="none" w:sz="0" w:space="0" w:color="auto"/>
            <w:left w:val="none" w:sz="0" w:space="0" w:color="auto"/>
            <w:bottom w:val="none" w:sz="0" w:space="0" w:color="auto"/>
            <w:right w:val="none" w:sz="0" w:space="0" w:color="auto"/>
          </w:divBdr>
        </w:div>
        <w:div w:id="987397622">
          <w:marLeft w:val="0"/>
          <w:marRight w:val="0"/>
          <w:marTop w:val="0"/>
          <w:marBottom w:val="0"/>
          <w:divBdr>
            <w:top w:val="none" w:sz="0" w:space="0" w:color="auto"/>
            <w:left w:val="none" w:sz="0" w:space="0" w:color="auto"/>
            <w:bottom w:val="none" w:sz="0" w:space="0" w:color="auto"/>
            <w:right w:val="none" w:sz="0" w:space="0" w:color="auto"/>
          </w:divBdr>
        </w:div>
        <w:div w:id="1720667284">
          <w:marLeft w:val="0"/>
          <w:marRight w:val="0"/>
          <w:marTop w:val="0"/>
          <w:marBottom w:val="0"/>
          <w:divBdr>
            <w:top w:val="none" w:sz="0" w:space="0" w:color="auto"/>
            <w:left w:val="none" w:sz="0" w:space="0" w:color="auto"/>
            <w:bottom w:val="none" w:sz="0" w:space="0" w:color="auto"/>
            <w:right w:val="none" w:sz="0" w:space="0" w:color="auto"/>
          </w:divBdr>
        </w:div>
        <w:div w:id="1638295665">
          <w:marLeft w:val="0"/>
          <w:marRight w:val="0"/>
          <w:marTop w:val="0"/>
          <w:marBottom w:val="0"/>
          <w:divBdr>
            <w:top w:val="none" w:sz="0" w:space="0" w:color="auto"/>
            <w:left w:val="none" w:sz="0" w:space="0" w:color="auto"/>
            <w:bottom w:val="none" w:sz="0" w:space="0" w:color="auto"/>
            <w:right w:val="none" w:sz="0" w:space="0" w:color="auto"/>
          </w:divBdr>
        </w:div>
        <w:div w:id="1446002998">
          <w:marLeft w:val="0"/>
          <w:marRight w:val="0"/>
          <w:marTop w:val="0"/>
          <w:marBottom w:val="0"/>
          <w:divBdr>
            <w:top w:val="none" w:sz="0" w:space="0" w:color="auto"/>
            <w:left w:val="none" w:sz="0" w:space="0" w:color="auto"/>
            <w:bottom w:val="none" w:sz="0" w:space="0" w:color="auto"/>
            <w:right w:val="none" w:sz="0" w:space="0" w:color="auto"/>
          </w:divBdr>
        </w:div>
      </w:divsChild>
    </w:div>
    <w:div w:id="1662999056">
      <w:bodyDiv w:val="1"/>
      <w:marLeft w:val="0"/>
      <w:marRight w:val="0"/>
      <w:marTop w:val="0"/>
      <w:marBottom w:val="0"/>
      <w:divBdr>
        <w:top w:val="none" w:sz="0" w:space="0" w:color="auto"/>
        <w:left w:val="none" w:sz="0" w:space="0" w:color="auto"/>
        <w:bottom w:val="none" w:sz="0" w:space="0" w:color="auto"/>
        <w:right w:val="none" w:sz="0" w:space="0" w:color="auto"/>
      </w:divBdr>
    </w:div>
    <w:div w:id="1861626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esse@tng.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663</Words>
  <Characters>4181</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Friederike Hopp</dc:creator>
  <cp:keywords/>
  <dc:description/>
  <cp:lastModifiedBy>Friederike Hopp</cp:lastModifiedBy>
  <cp:revision>3</cp:revision>
  <cp:lastPrinted>2026-10-30T12:57:00Z</cp:lastPrinted>
  <dcterms:created xsi:type="dcterms:W3CDTF">2026-10-30T12:57:00Z</dcterms:created>
  <dcterms:modified xsi:type="dcterms:W3CDTF">2026-10-30T12:57:00Z</dcterms:modified>
</cp:coreProperties>
</file>