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BAA8" w14:textId="6FEE42B3" w:rsidR="004173E2" w:rsidRPr="004173E2" w:rsidRDefault="004173E2" w:rsidP="004173E2">
      <w:pPr>
        <w:rPr>
          <w:b/>
          <w:bCs/>
        </w:rPr>
      </w:pPr>
      <w:r w:rsidRPr="004173E2">
        <w:rPr>
          <w:b/>
          <w:bCs/>
        </w:rPr>
        <w:t xml:space="preserve">TNG sichert 325 Mio. </w:t>
      </w:r>
      <w:r w:rsidR="00E06D11">
        <w:rPr>
          <w:b/>
          <w:bCs/>
        </w:rPr>
        <w:t>Euro</w:t>
      </w:r>
      <w:r w:rsidRPr="004173E2">
        <w:rPr>
          <w:b/>
          <w:bCs/>
        </w:rPr>
        <w:t xml:space="preserve"> Finanzierungspaket zur Beschleunigung des Ausbaus des Glasfasernetzes</w:t>
      </w:r>
    </w:p>
    <w:p w14:paraId="2095AC81" w14:textId="77777777" w:rsidR="004173E2" w:rsidRDefault="004173E2" w:rsidP="004173E2"/>
    <w:p w14:paraId="290792CD" w14:textId="50DF0ABB" w:rsidR="004173E2" w:rsidRDefault="004173E2" w:rsidP="004173E2">
      <w:r>
        <w:t xml:space="preserve">TNG, eine führende </w:t>
      </w:r>
      <w:r w:rsidRPr="00602536">
        <w:t>deutsche</w:t>
      </w:r>
      <w:r>
        <w:t xml:space="preserve"> FTTH-Plattform mit Hauptsitz in Kiel, hat mit einem internationalen Bankenkonsortium eine Vereinbarung über die Aufnahme von 325 Mio. Euro unterzeichnet, um die bestehenden Bankfazilitäten zu refinanzieren und neues Kapital zu beschaffen, um den Ausbau ihres Glasfasernetzes zu beschleunigen. Das Finanzierungspaket ermöglicht die Aufnahme zusätzlicher 150 Mio. </w:t>
      </w:r>
      <w:r w:rsidR="00602536">
        <w:t>Euro</w:t>
      </w:r>
      <w:r>
        <w:t xml:space="preserve"> an Fremdkapital im Rahmen der bestehenden Kreditvereinbarung.</w:t>
      </w:r>
    </w:p>
    <w:p w14:paraId="22979652" w14:textId="77777777" w:rsidR="004173E2" w:rsidRDefault="004173E2" w:rsidP="004173E2"/>
    <w:p w14:paraId="2C6E8515" w14:textId="32A08A37" w:rsidR="004173E2" w:rsidRDefault="004173E2" w:rsidP="004173E2">
      <w:r>
        <w:t>TNG konzentriert sich auf den Ausbau und den Betrieb von Glasfasernetzen für Haushalte (FTTH) in unterversorgten</w:t>
      </w:r>
      <w:r w:rsidR="00193B9D">
        <w:t xml:space="preserve"> ländlichen Gebieten und Städten</w:t>
      </w:r>
      <w:r>
        <w:t>. Das Unternehmen hat bereits mehr als 60.000 Haushalte in Norddeutschland und Hessen erfolgreich mit FTTH-Anschlüsse</w:t>
      </w:r>
      <w:r w:rsidR="00370DA1">
        <w:t>n ausgestattet</w:t>
      </w:r>
      <w:r>
        <w:t>.</w:t>
      </w:r>
    </w:p>
    <w:p w14:paraId="26F4406F" w14:textId="77777777" w:rsidR="004173E2" w:rsidRDefault="004173E2" w:rsidP="004173E2"/>
    <w:p w14:paraId="0358B8F2" w14:textId="49D408A2" w:rsidR="004173E2" w:rsidRDefault="004173E2" w:rsidP="004173E2">
      <w:r>
        <w:t>Mit Unterstützung des Mehrheitsaktionärs ICG Infra plant TNG, innerhalb der nächsten vier Jahre mehr als 500.000 Haushalte mit FTTH-Anschlüssen zu versorgen</w:t>
      </w:r>
      <w:r w:rsidR="00193B9D">
        <w:t xml:space="preserve">. TNG hat </w:t>
      </w:r>
      <w:r>
        <w:t xml:space="preserve">sich bereits </w:t>
      </w:r>
      <w:r w:rsidR="00193B9D">
        <w:t>die notwendigen Baukapazitäten</w:t>
      </w:r>
      <w:r>
        <w:t xml:space="preserve"> gesichert, um den </w:t>
      </w:r>
      <w:r w:rsidR="00193B9D">
        <w:t xml:space="preserve">überwiegenden </w:t>
      </w:r>
      <w:r>
        <w:t>Teil diese</w:t>
      </w:r>
      <w:r w:rsidR="00193B9D">
        <w:t>r Planung</w:t>
      </w:r>
      <w:r>
        <w:t xml:space="preserve"> umzusetzen.</w:t>
      </w:r>
    </w:p>
    <w:p w14:paraId="7DBBCE7D" w14:textId="77777777" w:rsidR="004173E2" w:rsidRDefault="004173E2" w:rsidP="004173E2"/>
    <w:p w14:paraId="28ED828E" w14:textId="4504E7DF" w:rsidR="004173E2" w:rsidRDefault="004173E2" w:rsidP="004173E2">
      <w:r>
        <w:t xml:space="preserve">Das </w:t>
      </w:r>
      <w:r w:rsidR="00193B9D">
        <w:t>K</w:t>
      </w:r>
      <w:r>
        <w:t xml:space="preserve">onsortium </w:t>
      </w:r>
      <w:r w:rsidR="00193B9D">
        <w:t xml:space="preserve">für die Finanzierung </w:t>
      </w:r>
      <w:r>
        <w:t xml:space="preserve">wird von der KfW und der Nord LB als </w:t>
      </w:r>
      <w:r w:rsidR="00193B9D">
        <w:t>‘</w:t>
      </w:r>
      <w:r>
        <w:t>Mandated Lead Arranger</w:t>
      </w:r>
      <w:r w:rsidR="00193B9D">
        <w:t>‘</w:t>
      </w:r>
      <w:r>
        <w:t xml:space="preserve"> angeführt und umfasst außerdem die Hamburgische Handelsbank, die Kommunalkredit, NIBC und ING. </w:t>
      </w:r>
      <w:r w:rsidR="00193B9D">
        <w:t>Mit dieser V</w:t>
      </w:r>
      <w:r>
        <w:t xml:space="preserve">ereinbarung </w:t>
      </w:r>
      <w:r w:rsidR="00193B9D">
        <w:t xml:space="preserve">kann die </w:t>
      </w:r>
      <w:r>
        <w:t xml:space="preserve">TNG </w:t>
      </w:r>
      <w:r w:rsidR="00193B9D">
        <w:t xml:space="preserve">auch </w:t>
      </w:r>
      <w:r>
        <w:t>ESG-</w:t>
      </w:r>
      <w:r w:rsidR="00193B9D">
        <w:t>bezogene Finanzierungen abrufen und deren Zinsvorteile nutzen</w:t>
      </w:r>
      <w:r>
        <w:t>.</w:t>
      </w:r>
    </w:p>
    <w:p w14:paraId="3AB63FDA" w14:textId="77777777" w:rsidR="004173E2" w:rsidRDefault="004173E2" w:rsidP="004173E2"/>
    <w:p w14:paraId="7CBC65DC" w14:textId="2D049494" w:rsidR="004173E2" w:rsidRDefault="004173E2" w:rsidP="004173E2">
      <w:r>
        <w:t xml:space="preserve">Helmut Gertz, CFO von TNG, kommentierte: "Wir freuen uns, dass wir uns eine langfristige Finanzierung sichern konnten, um die Entwicklung unseres schnell wachsenden Netzwerks zu unterstützen. Wir sind zuversichtlich, dass wir bei der Fortsetzung unseres Wachstumsplans über alle erforderlichen Ressourcen verfügen, um einer der wichtigsten Glasfaserbetreiber in </w:t>
      </w:r>
      <w:r w:rsidR="00193B9D">
        <w:t>unseren Zielg</w:t>
      </w:r>
      <w:r>
        <w:t>ebieten in Deutschland zu werden.</w:t>
      </w:r>
    </w:p>
    <w:p w14:paraId="629C96B1" w14:textId="77777777" w:rsidR="004173E2" w:rsidRDefault="004173E2" w:rsidP="004173E2"/>
    <w:p w14:paraId="2C4DE230" w14:textId="77777777" w:rsidR="004173E2" w:rsidRDefault="004173E2" w:rsidP="004173E2">
      <w:r>
        <w:t>Frank Heiss, Managing Director und Leiter der DACH-Region bei ICG Infra, kommentierte: "Wir freuen uns sehr, den Wachstumsplan des Unternehmens weiter zu unterstützen und den Breitbandanschluss in ganz Deutschland zu ermöglichen. Diese erfolgreiche Finanzierung beweist die Robustheit und Attraktivität des Sektors.</w:t>
      </w:r>
    </w:p>
    <w:p w14:paraId="42EB15C4" w14:textId="77777777" w:rsidR="004173E2" w:rsidRDefault="004173E2" w:rsidP="004173E2"/>
    <w:p w14:paraId="4FAEE13C" w14:textId="7C675839" w:rsidR="004173E2" w:rsidRDefault="004173E2" w:rsidP="004173E2">
      <w:r>
        <w:t xml:space="preserve">TNG wurde von Macquarie Capital (Finanzierung), Deloitte (finanzielle </w:t>
      </w:r>
      <w:r w:rsidR="00193B9D">
        <w:t>Due Dilligence</w:t>
      </w:r>
      <w:r>
        <w:t xml:space="preserve">), Rautenberg (kommerzielle </w:t>
      </w:r>
      <w:r w:rsidR="00193B9D">
        <w:t>Due Dilligence</w:t>
      </w:r>
      <w:r>
        <w:t xml:space="preserve">) und Freshfields (rechtliche </w:t>
      </w:r>
      <w:r w:rsidR="00193B9D">
        <w:t>Prüfung und Beratung</w:t>
      </w:r>
      <w:r>
        <w:t xml:space="preserve">), Hogan Lovells (rechtliche </w:t>
      </w:r>
      <w:r w:rsidR="00DA2753">
        <w:t xml:space="preserve">Prüfung </w:t>
      </w:r>
      <w:r>
        <w:t>und Bankberatung) und Kerius (</w:t>
      </w:r>
      <w:r w:rsidR="00193B9D">
        <w:t>Hedging</w:t>
      </w:r>
      <w:r>
        <w:t>) beraten.</w:t>
      </w:r>
    </w:p>
    <w:p w14:paraId="03039D42" w14:textId="77777777" w:rsidR="004173E2" w:rsidRDefault="004173E2" w:rsidP="004173E2"/>
    <w:p w14:paraId="7E1545FB" w14:textId="112AB68E" w:rsidR="006F2BE5" w:rsidRDefault="006F2BE5" w:rsidP="006F2BE5"/>
    <w:p w14:paraId="2EAA2F8B" w14:textId="04403383" w:rsidR="006F2BE5" w:rsidRDefault="006F2BE5" w:rsidP="006F2BE5"/>
    <w:p w14:paraId="2E04DFD0" w14:textId="0C0B0363" w:rsidR="006F2BE5" w:rsidRDefault="006F2BE5" w:rsidP="006F2BE5"/>
    <w:p w14:paraId="1D8D91C2" w14:textId="5B1D7A12" w:rsidR="006F2BE5" w:rsidRDefault="006F2BE5" w:rsidP="006F2BE5"/>
    <w:p w14:paraId="14E0E008" w14:textId="11FF3E11" w:rsidR="006F2BE5" w:rsidRDefault="006F2BE5" w:rsidP="006F2BE5"/>
    <w:p w14:paraId="07FCDDA2" w14:textId="0ACF3FF6" w:rsidR="006F2BE5" w:rsidRDefault="006F2BE5" w:rsidP="006F2BE5"/>
    <w:p w14:paraId="4BD56502" w14:textId="5490D0BF" w:rsidR="006F2BE5" w:rsidRDefault="006F2BE5" w:rsidP="006F2BE5"/>
    <w:p w14:paraId="52A5131E" w14:textId="21DB36AC" w:rsidR="006F2BE5" w:rsidRDefault="006F2BE5" w:rsidP="006F2BE5"/>
    <w:p w14:paraId="71CD36FA" w14:textId="68C3147F" w:rsidR="006F2BE5" w:rsidRDefault="006F2BE5" w:rsidP="006F2BE5"/>
    <w:p w14:paraId="58138B30" w14:textId="77777777" w:rsidR="006F2BE5" w:rsidRPr="006F2BE5" w:rsidRDefault="006F2BE5" w:rsidP="006F2BE5">
      <w:pPr>
        <w:rPr>
          <w:b/>
          <w:bCs/>
        </w:rPr>
      </w:pPr>
      <w:r w:rsidRPr="006F2BE5">
        <w:rPr>
          <w:b/>
          <w:bCs/>
        </w:rPr>
        <w:t>Über TNG</w:t>
      </w:r>
    </w:p>
    <w:p w14:paraId="00CF9C30" w14:textId="260054D8" w:rsidR="006F2BE5" w:rsidRDefault="006F2BE5" w:rsidP="006F2BE5">
      <w:r>
        <w:t>TNG wurde 1997 gegründet und hat sich zu eine</w:t>
      </w:r>
      <w:r w:rsidR="00347180">
        <w:t>m</w:t>
      </w:r>
      <w:r>
        <w:t xml:space="preserve"> starken regionalen FTTH-</w:t>
      </w:r>
      <w:r w:rsidR="00347180" w:rsidRPr="00B951C0">
        <w:t>Anbieter</w:t>
      </w:r>
      <w:r>
        <w:t xml:space="preserve"> in Norddeutschland entwickelt, </w:t>
      </w:r>
      <w:r w:rsidR="00347180">
        <w:t>der</w:t>
      </w:r>
      <w:r>
        <w:t xml:space="preserve"> mehr als 90.000 </w:t>
      </w:r>
      <w:r w:rsidR="00347180" w:rsidRPr="00B951C0">
        <w:t xml:space="preserve">abgeschlossene </w:t>
      </w:r>
      <w:r>
        <w:t xml:space="preserve">Privat- und </w:t>
      </w:r>
      <w:r w:rsidRPr="00B951C0">
        <w:t>Geschäftskunden</w:t>
      </w:r>
      <w:r w:rsidR="00347180" w:rsidRPr="00B951C0">
        <w:t>verträge</w:t>
      </w:r>
      <w:r>
        <w:t xml:space="preserve"> </w:t>
      </w:r>
      <w:r w:rsidR="00347180">
        <w:t xml:space="preserve">für </w:t>
      </w:r>
      <w:r>
        <w:t xml:space="preserve">Internetanschlüsse zur Verfügung stellt. </w:t>
      </w:r>
    </w:p>
    <w:p w14:paraId="37A7988F" w14:textId="77777777" w:rsidR="006F2BE5" w:rsidRDefault="006F2BE5" w:rsidP="006F2BE5"/>
    <w:p w14:paraId="3394657E" w14:textId="77777777" w:rsidR="006F2BE5" w:rsidRDefault="006F2BE5" w:rsidP="006F2BE5">
      <w:r>
        <w:t xml:space="preserve">TNG hat sich als führender, unabhängiger City-Carrier in Kiel eine starke Position auf dem norddeutschen Telekommunikationsmarkt erarbeitet. Im Jahr 2013 ist das Unternehmen in den ländlichen FTTH-Markt eingestiegen und hat seitdem seine Netzpräsenz sowohl in eigenen als auch in angemieteten Netzen erheblich ausgebaut. </w:t>
      </w:r>
    </w:p>
    <w:p w14:paraId="5F0652E9" w14:textId="77777777" w:rsidR="006F2BE5" w:rsidRDefault="006F2BE5" w:rsidP="006F2BE5"/>
    <w:p w14:paraId="10A7A112" w14:textId="64AEF45D" w:rsidR="006F2BE5" w:rsidRDefault="006F2BE5" w:rsidP="006F2BE5">
      <w:r>
        <w:t xml:space="preserve">TNG hat eine starke FTTH-Erfolgsbilanz auf der Grundlage eines hochgradig vertikal integrierten Geschäftsmodells, einschließlich eigener </w:t>
      </w:r>
      <w:r w:rsidR="00193B9D">
        <w:t>Planungs- und Bauabteilungen</w:t>
      </w:r>
      <w:r>
        <w:t xml:space="preserve"> entwickelt</w:t>
      </w:r>
      <w:r w:rsidR="0057583F">
        <w:t>,</w:t>
      </w:r>
      <w:r>
        <w:t xml:space="preserve"> und bietet seinen Kunden schnelle und zuverlässige </w:t>
      </w:r>
      <w:r w:rsidRPr="00347180">
        <w:t>Glasfaserlösungen</w:t>
      </w:r>
      <w:r>
        <w:t xml:space="preserve"> und Telekommunikationsdienste.</w:t>
      </w:r>
    </w:p>
    <w:p w14:paraId="09DADCA6" w14:textId="77777777" w:rsidR="006F2BE5" w:rsidRDefault="006F2BE5" w:rsidP="006F2BE5"/>
    <w:p w14:paraId="2C4F8D1F" w14:textId="77777777" w:rsidR="006F2BE5" w:rsidRPr="006F2BE5" w:rsidRDefault="006F2BE5" w:rsidP="006F2BE5">
      <w:pPr>
        <w:rPr>
          <w:b/>
          <w:bCs/>
        </w:rPr>
      </w:pPr>
      <w:r w:rsidRPr="006F2BE5">
        <w:rPr>
          <w:b/>
          <w:bCs/>
        </w:rPr>
        <w:t>Über ICG</w:t>
      </w:r>
    </w:p>
    <w:p w14:paraId="02E59650" w14:textId="1598C878" w:rsidR="006F2BE5" w:rsidRDefault="006F2BE5" w:rsidP="006F2BE5">
      <w:r>
        <w:t xml:space="preserve">ICG bietet flexible Kapitallösungen, um Unternehmen bei ihrer Entwicklung und ihrem Wachstum zu unterstützen. Wir sind ein globaler alternativer Vermögensverwalter mit mehr als 30 Jahren Erfahrung, der ein Vermögen von </w:t>
      </w:r>
      <w:r w:rsidR="00B951C0">
        <w:t>68,5</w:t>
      </w:r>
      <w:r>
        <w:t xml:space="preserve"> Mrd. USD verwaltet und in die gesamte Kapitalstruktur investiert. Wir sind in vier Anlageklassen tätig: Strukturiertes und privates Beteiligungskapital, Private Debt, Real Assets und </w:t>
      </w:r>
      <w:r w:rsidR="00193B9D">
        <w:t>Finanzierungen</w:t>
      </w:r>
      <w:r>
        <w:t>.</w:t>
      </w:r>
    </w:p>
    <w:p w14:paraId="3CC42972" w14:textId="77777777" w:rsidR="006F2BE5" w:rsidRDefault="006F2BE5" w:rsidP="006F2BE5"/>
    <w:p w14:paraId="4C76BE9A" w14:textId="77777777" w:rsidR="006F2BE5" w:rsidRDefault="006F2BE5" w:rsidP="006F2BE5">
      <w:r>
        <w:t>Wir bauen langfristige Beziehungen zu unseren Geschäftspartnern auf, um Mehrwert für Aktionäre, Kunden und Mitarbeiter zu schaffen, und nutzen unsere Einflussmöglichkeiten zum Nutzen von Umwelt und Gesellschaft. Wir sind bestrebt, bis 2040 in allen unseren Geschäftsbereichen und relevanten Investitionen ein Netto-Null-Asset-Manager zu sein.</w:t>
      </w:r>
    </w:p>
    <w:p w14:paraId="027AEFAB" w14:textId="77777777" w:rsidR="006F2BE5" w:rsidRDefault="006F2BE5" w:rsidP="006F2BE5"/>
    <w:p w14:paraId="41491ECE" w14:textId="77777777" w:rsidR="006F2BE5" w:rsidRDefault="006F2BE5" w:rsidP="006F2BE5">
      <w:r>
        <w:t>ICG ist an der Londoner Börse notiert (Tickersymbol: ICP). Weitere Informationen finden Sie unter www.icgam.com. Sie können ICG auf LinkedIn und Twitter folgen.</w:t>
      </w:r>
    </w:p>
    <w:p w14:paraId="2D2F9AB5" w14:textId="77777777" w:rsidR="006F2BE5" w:rsidRDefault="006F2BE5" w:rsidP="006F2BE5"/>
    <w:p w14:paraId="164EE261" w14:textId="77777777" w:rsidR="006F2BE5" w:rsidRPr="006F2BE5" w:rsidRDefault="006F2BE5" w:rsidP="006F2BE5">
      <w:pPr>
        <w:rPr>
          <w:b/>
          <w:bCs/>
        </w:rPr>
      </w:pPr>
      <w:r w:rsidRPr="006F2BE5">
        <w:rPr>
          <w:b/>
          <w:bCs/>
        </w:rPr>
        <w:t>Über ICG Infra</w:t>
      </w:r>
    </w:p>
    <w:p w14:paraId="6B4F67CC" w14:textId="03E7F966" w:rsidR="006F2BE5" w:rsidRDefault="006F2BE5" w:rsidP="006F2BE5">
      <w:r>
        <w:t xml:space="preserve">Im Jahr 2018 hat ICG ein neues europäisches Infrastruktur-Investmentteam gegründet, das sich auf Investitionen in Kern- und Kern-Plus-Infrastruktur spezialisiert hat. ICG Infra verfolgt eine grüne, generalistische Strategie mit einem integrierten ESG-Ansatz und hat bereits </w:t>
      </w:r>
      <w:r w:rsidR="00512D54">
        <w:t>acht</w:t>
      </w:r>
      <w:r>
        <w:t xml:space="preserve"> Transaktionen abgeschlossen, darunter </w:t>
      </w:r>
      <w:r w:rsidR="00512D54">
        <w:t>zwei</w:t>
      </w:r>
      <w:r>
        <w:t xml:space="preserve"> im digitalen Bereich (Océinde Communications, führender Anbieter von Glasfasernetzen auf der Insel La Réunion und TNG, FTTH-Betreiber in Deutschland), </w:t>
      </w:r>
      <w:r w:rsidR="00512D54">
        <w:t>zwei</w:t>
      </w:r>
      <w:r>
        <w:t xml:space="preserve"> im Bereich der Energiewende (OSB, N</w:t>
      </w:r>
      <w:r w:rsidR="00512D54">
        <w:t>ummer</w:t>
      </w:r>
      <w:r>
        <w:t xml:space="preserve"> </w:t>
      </w:r>
      <w:r w:rsidR="00512D54">
        <w:t>3</w:t>
      </w:r>
      <w:r>
        <w:t xml:space="preserve"> auf dem französischen Markt für Submetering und Zeplug, EVCS für kollektive Parkplätze) und </w:t>
      </w:r>
      <w:r w:rsidR="00512D54">
        <w:t>vier</w:t>
      </w:r>
      <w:r>
        <w:t xml:space="preserve"> im Bereich der erneuerbaren Energien (Akuo und CVE in Frankreich, BSR im Vereinigten Königreich und Dos Grados auf der Iberischen Halbinsel).</w:t>
      </w:r>
    </w:p>
    <w:p w14:paraId="38774BB3" w14:textId="77777777" w:rsidR="006F2BE5" w:rsidRDefault="006F2BE5" w:rsidP="006F2BE5"/>
    <w:p w14:paraId="604DDEAA" w14:textId="77777777" w:rsidR="006F2BE5" w:rsidRDefault="006F2BE5" w:rsidP="006F2BE5">
      <w:r>
        <w:t>Diese Investitionen sind ein perfektes Beispiel für die Investitionsstrategie von ICG im Infrastruktursegment: ein Fokus auf den mittleren Markt, mit einem flexiblen Ansatz in Bezug auf die Kapitalstrukturierung (Eigenkapital/Quasi-Eigenkapital) und dem Wunsch, langfristige Partnerschaften mit Managementteams zu schmieden, die von einem starken unternehmerischen Wachstumsprojekt geleitet werden.</w:t>
      </w:r>
    </w:p>
    <w:p w14:paraId="3756CA46" w14:textId="77777777" w:rsidR="006F2BE5" w:rsidRDefault="006F2BE5" w:rsidP="006F2BE5"/>
    <w:p w14:paraId="31B715B9" w14:textId="0D3D03A3" w:rsidR="006F2BE5" w:rsidRDefault="006F2BE5" w:rsidP="006F2BE5">
      <w:r>
        <w:lastRenderedPageBreak/>
        <w:t>Die Infrastrukturstrategie der ICG wurde bei den 2020 PRI Awards für die "ESG Incorporation Initiative of the Year" nominiert.</w:t>
      </w:r>
    </w:p>
    <w:p w14:paraId="78C14C11" w14:textId="2A902FCC" w:rsidR="00331CD8" w:rsidRPr="00331CD8" w:rsidRDefault="00331CD8" w:rsidP="006F2BE5">
      <w:pPr>
        <w:rPr>
          <w:rFonts w:cstheme="minorHAnsi"/>
        </w:rPr>
      </w:pPr>
    </w:p>
    <w:p w14:paraId="78867641" w14:textId="597390F3" w:rsidR="00331CD8" w:rsidRPr="00331CD8" w:rsidRDefault="00331CD8" w:rsidP="00331CD8">
      <w:pPr>
        <w:rPr>
          <w:rFonts w:cstheme="minorHAnsi"/>
        </w:rPr>
      </w:pPr>
    </w:p>
    <w:p w14:paraId="7C57CC96" w14:textId="77777777" w:rsidR="00331CD8" w:rsidRPr="00331CD8" w:rsidRDefault="00331CD8" w:rsidP="00331CD8">
      <w:pPr>
        <w:rPr>
          <w:rFonts w:cstheme="minorHAnsi"/>
          <w:b/>
          <w:bCs/>
        </w:rPr>
      </w:pPr>
      <w:r w:rsidRPr="00331CD8">
        <w:rPr>
          <w:rFonts w:cstheme="minorHAnsi"/>
          <w:b/>
          <w:bCs/>
        </w:rPr>
        <w:t>Für weitere Informationen wenden Sie sich bitte an:</w:t>
      </w:r>
    </w:p>
    <w:p w14:paraId="19033E7E" w14:textId="77777777" w:rsidR="00602536" w:rsidRDefault="00602536" w:rsidP="00331CD8">
      <w:pPr>
        <w:rPr>
          <w:rFonts w:cstheme="minorHAnsi"/>
        </w:rPr>
      </w:pPr>
    </w:p>
    <w:p w14:paraId="2C813733" w14:textId="77777777" w:rsidR="00602536" w:rsidRPr="00331CD8" w:rsidRDefault="00602536" w:rsidP="00602536">
      <w:pPr>
        <w:pStyle w:val="Text"/>
        <w:spacing w:line="240" w:lineRule="auto"/>
        <w:jc w:val="both"/>
        <w:outlineLvl w:val="0"/>
        <w:rPr>
          <w:rFonts w:asciiTheme="minorHAnsi" w:hAnsiTheme="minorHAnsi" w:cstheme="minorHAnsi"/>
          <w:color w:val="000000" w:themeColor="text1"/>
          <w:sz w:val="24"/>
          <w:szCs w:val="24"/>
        </w:rPr>
      </w:pPr>
      <w:r w:rsidRPr="00331CD8">
        <w:rPr>
          <w:rFonts w:asciiTheme="minorHAnsi" w:hAnsiTheme="minorHAnsi" w:cstheme="minorHAnsi"/>
          <w:color w:val="000000" w:themeColor="text1"/>
          <w:sz w:val="24"/>
          <w:szCs w:val="24"/>
        </w:rPr>
        <w:t>Pressekontakt der TNG Stadtnetz Gmb</w:t>
      </w:r>
      <w:r>
        <w:rPr>
          <w:rFonts w:asciiTheme="minorHAnsi" w:hAnsiTheme="minorHAnsi" w:cstheme="minorHAnsi"/>
          <w:color w:val="000000" w:themeColor="text1"/>
          <w:sz w:val="24"/>
          <w:szCs w:val="24"/>
        </w:rPr>
        <w:t>H</w:t>
      </w:r>
    </w:p>
    <w:p w14:paraId="742F67AE" w14:textId="77777777" w:rsidR="00602536" w:rsidRPr="00602536" w:rsidRDefault="00602536" w:rsidP="00602536">
      <w:pPr>
        <w:pStyle w:val="Text"/>
        <w:spacing w:line="240" w:lineRule="auto"/>
        <w:ind w:right="0"/>
        <w:jc w:val="both"/>
        <w:outlineLvl w:val="0"/>
        <w:rPr>
          <w:rFonts w:asciiTheme="minorHAnsi" w:hAnsiTheme="minorHAnsi" w:cstheme="minorHAnsi"/>
          <w:color w:val="000000" w:themeColor="text1"/>
          <w:sz w:val="24"/>
          <w:szCs w:val="24"/>
        </w:rPr>
      </w:pPr>
      <w:r w:rsidRPr="00602536">
        <w:rPr>
          <w:rFonts w:asciiTheme="minorHAnsi" w:hAnsiTheme="minorHAnsi" w:cstheme="minorHAnsi"/>
          <w:color w:val="000000" w:themeColor="text1"/>
          <w:sz w:val="24"/>
          <w:szCs w:val="24"/>
        </w:rPr>
        <w:t>Bettina Büll</w:t>
      </w:r>
    </w:p>
    <w:p w14:paraId="59A97B57" w14:textId="77777777" w:rsidR="00602536" w:rsidRPr="00602536" w:rsidRDefault="00370DA1" w:rsidP="00602536">
      <w:pPr>
        <w:pStyle w:val="Text"/>
        <w:spacing w:line="240" w:lineRule="auto"/>
        <w:ind w:right="0"/>
        <w:jc w:val="both"/>
        <w:outlineLvl w:val="0"/>
        <w:rPr>
          <w:rFonts w:asciiTheme="minorHAnsi" w:hAnsiTheme="minorHAnsi" w:cstheme="minorHAnsi"/>
          <w:color w:val="000000" w:themeColor="text1"/>
          <w:sz w:val="24"/>
          <w:szCs w:val="24"/>
        </w:rPr>
      </w:pPr>
      <w:hyperlink r:id="rId8" w:history="1">
        <w:r w:rsidR="00602536" w:rsidRPr="00602536">
          <w:rPr>
            <w:rStyle w:val="Hyperlink"/>
            <w:rFonts w:asciiTheme="minorHAnsi" w:hAnsiTheme="minorHAnsi" w:cstheme="minorHAnsi"/>
            <w:sz w:val="24"/>
            <w:szCs w:val="24"/>
          </w:rPr>
          <w:t>presse@tng.de</w:t>
        </w:r>
      </w:hyperlink>
    </w:p>
    <w:p w14:paraId="1811DA54" w14:textId="77777777" w:rsidR="00602536" w:rsidRDefault="00602536" w:rsidP="00331CD8">
      <w:pPr>
        <w:rPr>
          <w:rFonts w:cstheme="minorHAnsi"/>
        </w:rPr>
      </w:pPr>
    </w:p>
    <w:p w14:paraId="5C43C1C6" w14:textId="55ED9FA1" w:rsidR="00331CD8" w:rsidRPr="00331CD8" w:rsidRDefault="00331CD8" w:rsidP="00331CD8">
      <w:pPr>
        <w:rPr>
          <w:rFonts w:cstheme="minorHAnsi"/>
        </w:rPr>
      </w:pPr>
      <w:r w:rsidRPr="00331CD8">
        <w:rPr>
          <w:rFonts w:cstheme="minorHAnsi"/>
        </w:rPr>
        <w:t>ICG – Leiterin der Unternehmenskommunikation</w:t>
      </w:r>
    </w:p>
    <w:p w14:paraId="62A3718C" w14:textId="77777777" w:rsidR="00331CD8" w:rsidRPr="00E06D11" w:rsidRDefault="00331CD8" w:rsidP="00331CD8">
      <w:pPr>
        <w:rPr>
          <w:rFonts w:cstheme="minorHAnsi"/>
          <w:lang w:val="en-US"/>
        </w:rPr>
      </w:pPr>
      <w:r w:rsidRPr="00E06D11">
        <w:rPr>
          <w:rFonts w:cstheme="minorHAnsi"/>
          <w:lang w:val="en-US"/>
        </w:rPr>
        <w:t>Clare Glynn</w:t>
      </w:r>
    </w:p>
    <w:p w14:paraId="418CA580" w14:textId="2D1112B9" w:rsidR="00331CD8" w:rsidRPr="00E06D11" w:rsidRDefault="00370DA1" w:rsidP="00331CD8">
      <w:pPr>
        <w:rPr>
          <w:rFonts w:cstheme="minorHAnsi"/>
          <w:lang w:val="en-US"/>
        </w:rPr>
      </w:pPr>
      <w:hyperlink r:id="rId9" w:history="1">
        <w:r w:rsidR="00331CD8" w:rsidRPr="00E06D11">
          <w:rPr>
            <w:rStyle w:val="Hyperlink"/>
            <w:rFonts w:cstheme="minorHAnsi"/>
            <w:lang w:val="en-US"/>
          </w:rPr>
          <w:t>clare.glynn@icgam.com</w:t>
        </w:r>
      </w:hyperlink>
    </w:p>
    <w:p w14:paraId="36700738" w14:textId="63760D8E" w:rsidR="00331CD8" w:rsidRPr="00E06D11" w:rsidRDefault="00331CD8" w:rsidP="00331CD8">
      <w:pPr>
        <w:rPr>
          <w:rFonts w:cstheme="minorHAnsi"/>
          <w:lang w:val="en-US"/>
        </w:rPr>
      </w:pPr>
    </w:p>
    <w:p w14:paraId="42F2F0C1" w14:textId="7D0AF2BA" w:rsidR="00331CD8" w:rsidRPr="00E06D11" w:rsidRDefault="00331CD8" w:rsidP="00331CD8">
      <w:pPr>
        <w:rPr>
          <w:rFonts w:cstheme="minorHAnsi"/>
          <w:lang w:val="en-US"/>
        </w:rPr>
      </w:pPr>
    </w:p>
    <w:p w14:paraId="08FE83EE" w14:textId="0A9B9438" w:rsidR="00331CD8" w:rsidRPr="00331CD8" w:rsidRDefault="00331CD8" w:rsidP="00331CD8">
      <w:pPr>
        <w:pStyle w:val="Text"/>
        <w:spacing w:line="240" w:lineRule="auto"/>
        <w:jc w:val="both"/>
        <w:outlineLvl w:val="0"/>
        <w:rPr>
          <w:rFonts w:asciiTheme="minorHAnsi" w:hAnsiTheme="minorHAnsi" w:cstheme="minorHAnsi"/>
          <w:color w:val="000000" w:themeColor="text1"/>
          <w:sz w:val="24"/>
          <w:szCs w:val="24"/>
          <w:lang w:val="en-US"/>
        </w:rPr>
      </w:pPr>
      <w:r w:rsidRPr="00331CD8">
        <w:rPr>
          <w:rFonts w:asciiTheme="minorHAnsi" w:hAnsiTheme="minorHAnsi" w:cstheme="minorHAnsi"/>
          <w:color w:val="000000" w:themeColor="text1"/>
          <w:sz w:val="24"/>
          <w:szCs w:val="24"/>
          <w:lang w:val="en-US"/>
        </w:rPr>
        <w:tab/>
      </w:r>
      <w:r w:rsidRPr="00331CD8">
        <w:rPr>
          <w:rFonts w:asciiTheme="minorHAnsi" w:hAnsiTheme="minorHAnsi" w:cstheme="minorHAnsi"/>
          <w:color w:val="000000" w:themeColor="text1"/>
          <w:sz w:val="24"/>
          <w:szCs w:val="24"/>
          <w:lang w:val="en-US"/>
        </w:rPr>
        <w:tab/>
      </w:r>
      <w:r w:rsidRPr="00331CD8">
        <w:rPr>
          <w:rFonts w:asciiTheme="minorHAnsi" w:hAnsiTheme="minorHAnsi" w:cstheme="minorHAnsi"/>
          <w:color w:val="000000" w:themeColor="text1"/>
          <w:sz w:val="24"/>
          <w:szCs w:val="24"/>
          <w:lang w:val="en-US"/>
        </w:rPr>
        <w:tab/>
      </w:r>
      <w:r w:rsidRPr="00331CD8">
        <w:rPr>
          <w:rFonts w:asciiTheme="minorHAnsi" w:hAnsiTheme="minorHAnsi" w:cstheme="minorHAnsi"/>
          <w:color w:val="000000" w:themeColor="text1"/>
          <w:sz w:val="24"/>
          <w:szCs w:val="24"/>
          <w:lang w:val="en-US"/>
        </w:rPr>
        <w:tab/>
      </w:r>
      <w:r w:rsidRPr="00331CD8">
        <w:rPr>
          <w:rFonts w:asciiTheme="minorHAnsi" w:hAnsiTheme="minorHAnsi" w:cstheme="minorHAnsi"/>
          <w:color w:val="000000" w:themeColor="text1"/>
          <w:sz w:val="24"/>
          <w:szCs w:val="24"/>
          <w:lang w:val="en-US"/>
        </w:rPr>
        <w:tab/>
      </w:r>
    </w:p>
    <w:p w14:paraId="280EC8E0" w14:textId="77777777" w:rsidR="00331CD8" w:rsidRPr="00965B31" w:rsidRDefault="00331CD8" w:rsidP="00331CD8">
      <w:pPr>
        <w:rPr>
          <w:rFonts w:cstheme="minorHAnsi"/>
          <w:lang w:val="en-US"/>
        </w:rPr>
      </w:pPr>
    </w:p>
    <w:sectPr w:rsidR="00331CD8" w:rsidRPr="00965B31" w:rsidSect="00E51D72">
      <w:pgSz w:w="11906" w:h="16838"/>
      <w:pgMar w:top="1417" w:right="1417" w:bottom="84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E5"/>
    <w:rsid w:val="00193B9D"/>
    <w:rsid w:val="00304CCD"/>
    <w:rsid w:val="00331CD8"/>
    <w:rsid w:val="00347180"/>
    <w:rsid w:val="00370DA1"/>
    <w:rsid w:val="004173E2"/>
    <w:rsid w:val="00512D54"/>
    <w:rsid w:val="0057583F"/>
    <w:rsid w:val="005B4831"/>
    <w:rsid w:val="00602536"/>
    <w:rsid w:val="00675420"/>
    <w:rsid w:val="006F2BE5"/>
    <w:rsid w:val="00965B31"/>
    <w:rsid w:val="00AF5240"/>
    <w:rsid w:val="00B951C0"/>
    <w:rsid w:val="00C117CD"/>
    <w:rsid w:val="00DA2753"/>
    <w:rsid w:val="00E06D11"/>
    <w:rsid w:val="00E51D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3E9C"/>
  <w15:chartTrackingRefBased/>
  <w15:docId w15:val="{477CD05C-E2DB-9C4E-A277-301FEE94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512D54"/>
    <w:rPr>
      <w:sz w:val="16"/>
      <w:szCs w:val="16"/>
    </w:rPr>
  </w:style>
  <w:style w:type="paragraph" w:styleId="Kommentartext">
    <w:name w:val="annotation text"/>
    <w:basedOn w:val="Standard"/>
    <w:link w:val="KommentartextZchn"/>
    <w:uiPriority w:val="99"/>
    <w:semiHidden/>
    <w:unhideWhenUsed/>
    <w:rsid w:val="00512D54"/>
    <w:rPr>
      <w:sz w:val="20"/>
      <w:szCs w:val="20"/>
    </w:rPr>
  </w:style>
  <w:style w:type="character" w:customStyle="1" w:styleId="KommentartextZchn">
    <w:name w:val="Kommentartext Zchn"/>
    <w:basedOn w:val="Absatz-Standardschriftart"/>
    <w:link w:val="Kommentartext"/>
    <w:uiPriority w:val="99"/>
    <w:semiHidden/>
    <w:rsid w:val="00512D54"/>
    <w:rPr>
      <w:sz w:val="20"/>
      <w:szCs w:val="20"/>
    </w:rPr>
  </w:style>
  <w:style w:type="paragraph" w:styleId="Kommentarthema">
    <w:name w:val="annotation subject"/>
    <w:basedOn w:val="Kommentartext"/>
    <w:next w:val="Kommentartext"/>
    <w:link w:val="KommentarthemaZchn"/>
    <w:uiPriority w:val="99"/>
    <w:semiHidden/>
    <w:unhideWhenUsed/>
    <w:rsid w:val="00512D54"/>
    <w:rPr>
      <w:b/>
      <w:bCs/>
    </w:rPr>
  </w:style>
  <w:style w:type="character" w:customStyle="1" w:styleId="KommentarthemaZchn">
    <w:name w:val="Kommentarthema Zchn"/>
    <w:basedOn w:val="KommentartextZchn"/>
    <w:link w:val="Kommentarthema"/>
    <w:uiPriority w:val="99"/>
    <w:semiHidden/>
    <w:rsid w:val="00512D54"/>
    <w:rPr>
      <w:b/>
      <w:bCs/>
      <w:sz w:val="20"/>
      <w:szCs w:val="20"/>
    </w:rPr>
  </w:style>
  <w:style w:type="character" w:styleId="Hyperlink">
    <w:name w:val="Hyperlink"/>
    <w:basedOn w:val="Absatz-Standardschriftart"/>
    <w:uiPriority w:val="99"/>
    <w:unhideWhenUsed/>
    <w:rsid w:val="00331CD8"/>
    <w:rPr>
      <w:color w:val="0563C1" w:themeColor="hyperlink"/>
      <w:u w:val="single"/>
    </w:rPr>
  </w:style>
  <w:style w:type="character" w:styleId="NichtaufgelsteErwhnung">
    <w:name w:val="Unresolved Mention"/>
    <w:basedOn w:val="Absatz-Standardschriftart"/>
    <w:uiPriority w:val="99"/>
    <w:semiHidden/>
    <w:unhideWhenUsed/>
    <w:rsid w:val="00331CD8"/>
    <w:rPr>
      <w:color w:val="605E5C"/>
      <w:shd w:val="clear" w:color="auto" w:fill="E1DFDD"/>
    </w:rPr>
  </w:style>
  <w:style w:type="paragraph" w:customStyle="1" w:styleId="Text">
    <w:name w:val="Text"/>
    <w:rsid w:val="00331CD8"/>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styleId="berarbeitung">
    <w:name w:val="Revision"/>
    <w:hidden/>
    <w:uiPriority w:val="99"/>
    <w:semiHidden/>
    <w:rsid w:val="00193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lare.glynn@icgam.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4b2c4a-38ca-48a5-b854-583739391c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EB951E231EF54C95C439F382A83A16" ma:contentTypeVersion="9" ma:contentTypeDescription="Create a new document." ma:contentTypeScope="" ma:versionID="70164029d66a233acbda1d3613ed94ec">
  <xsd:schema xmlns:xsd="http://www.w3.org/2001/XMLSchema" xmlns:xs="http://www.w3.org/2001/XMLSchema" xmlns:p="http://schemas.microsoft.com/office/2006/metadata/properties" xmlns:ns2="464b2c4a-38ca-48a5-b854-583739391cbc" xmlns:ns3="8ecc2a99-bf0f-465b-a64c-ba5eb47b5ec1" targetNamespace="http://schemas.microsoft.com/office/2006/metadata/properties" ma:root="true" ma:fieldsID="45ba65c39b7565a4bac13d690beb69fc" ns2:_="" ns3:_="">
    <xsd:import namespace="464b2c4a-38ca-48a5-b854-583739391cbc"/>
    <xsd:import namespace="8ecc2a99-bf0f-465b-a64c-ba5eb47b5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b2c4a-38ca-48a5-b854-583739391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30410a5-65cc-4ffc-b294-fface5d29a8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c2a99-bf0f-465b-a64c-ba5eb47b5e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17E1B-989A-4776-A050-40C1E9927634}">
  <ds:schemaRefs>
    <ds:schemaRef ds:uri="http://schemas.openxmlformats.org/officeDocument/2006/bibliography"/>
  </ds:schemaRefs>
</ds:datastoreItem>
</file>

<file path=customXml/itemProps2.xml><?xml version="1.0" encoding="utf-8"?>
<ds:datastoreItem xmlns:ds="http://schemas.openxmlformats.org/officeDocument/2006/customXml" ds:itemID="{54AA45A2-07EC-4296-833D-3A6731E22A29}">
  <ds:schemaRefs>
    <ds:schemaRef ds:uri="http://schemas.microsoft.com/office/2006/metadata/properties"/>
    <ds:schemaRef ds:uri="http://schemas.microsoft.com/office/infopath/2007/PartnerControls"/>
    <ds:schemaRef ds:uri="464b2c4a-38ca-48a5-b854-583739391cbc"/>
  </ds:schemaRefs>
</ds:datastoreItem>
</file>

<file path=customXml/itemProps3.xml><?xml version="1.0" encoding="utf-8"?>
<ds:datastoreItem xmlns:ds="http://schemas.openxmlformats.org/officeDocument/2006/customXml" ds:itemID="{93EB0AC8-3DC5-476E-954E-F80AB70137CE}">
  <ds:schemaRefs>
    <ds:schemaRef ds:uri="http://schemas.microsoft.com/sharepoint/v3/contenttype/forms"/>
  </ds:schemaRefs>
</ds:datastoreItem>
</file>

<file path=customXml/itemProps4.xml><?xml version="1.0" encoding="utf-8"?>
<ds:datastoreItem xmlns:ds="http://schemas.openxmlformats.org/officeDocument/2006/customXml" ds:itemID="{ED537899-193E-48D7-A3E8-65BB6F1BB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b2c4a-38ca-48a5-b854-583739391cbc"/>
    <ds:schemaRef ds:uri="8ecc2a99-bf0f-465b-a64c-ba5eb47b5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4990</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7</cp:revision>
  <cp:lastPrinted>2022-11-23T14:17:00Z</cp:lastPrinted>
  <dcterms:created xsi:type="dcterms:W3CDTF">2022-11-23T14:24:00Z</dcterms:created>
  <dcterms:modified xsi:type="dcterms:W3CDTF">2022-11-23T14:41:00Z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0x010100D6EB951E231EF54C95C439F382A83A16</vt:lpwstr>
  </property>
</Properties>
</file>